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FE2" w:rsidRPr="007223FB" w:rsidRDefault="00995FE2">
      <w:pPr>
        <w:rPr>
          <w:noProof/>
          <w:lang w:eastAsia="es-GT"/>
        </w:rPr>
      </w:pPr>
      <w:bookmarkStart w:id="0" w:name="_GoBack"/>
      <w:bookmarkEnd w:id="0"/>
      <w:r w:rsidRPr="007223FB">
        <w:rPr>
          <w:noProof/>
          <w:lang w:eastAsia="es-GT"/>
        </w:rPr>
        <w:drawing>
          <wp:anchor distT="0" distB="0" distL="114300" distR="114300" simplePos="0" relativeHeight="251724800" behindDoc="0" locked="0" layoutInCell="1" allowOverlap="1" wp14:anchorId="6D04D9FD" wp14:editId="6E2BAEED">
            <wp:simplePos x="0" y="0"/>
            <wp:positionH relativeFrom="margin">
              <wp:posOffset>-994410</wp:posOffset>
            </wp:positionH>
            <wp:positionV relativeFrom="paragraph">
              <wp:posOffset>-724535</wp:posOffset>
            </wp:positionV>
            <wp:extent cx="7591425" cy="99060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8B689.tmp"/>
                    <pic:cNvPicPr/>
                  </pic:nvPicPr>
                  <pic:blipFill>
                    <a:blip r:embed="rId9">
                      <a:extLst>
                        <a:ext uri="{28A0092B-C50C-407E-A947-70E740481C1C}">
                          <a14:useLocalDpi xmlns:a14="http://schemas.microsoft.com/office/drawing/2010/main" val="0"/>
                        </a:ext>
                      </a:extLst>
                    </a:blip>
                    <a:stretch>
                      <a:fillRect/>
                    </a:stretch>
                  </pic:blipFill>
                  <pic:spPr>
                    <a:xfrm>
                      <a:off x="0" y="0"/>
                      <a:ext cx="7594563" cy="9910095"/>
                    </a:xfrm>
                    <a:prstGeom prst="rect">
                      <a:avLst/>
                    </a:prstGeom>
                  </pic:spPr>
                </pic:pic>
              </a:graphicData>
            </a:graphic>
            <wp14:sizeRelH relativeFrom="margin">
              <wp14:pctWidth>0</wp14:pctWidth>
            </wp14:sizeRelH>
            <wp14:sizeRelV relativeFrom="margin">
              <wp14:pctHeight>0</wp14:pctHeight>
            </wp14:sizeRelV>
          </wp:anchor>
        </w:drawing>
      </w:r>
      <w:r w:rsidRPr="007223FB">
        <w:rPr>
          <w:noProof/>
          <w:lang w:eastAsia="es-GT"/>
        </w:rPr>
        <w:br w:type="page"/>
      </w:r>
    </w:p>
    <w:p w:rsidR="00377472" w:rsidRPr="007223FB" w:rsidRDefault="00377472" w:rsidP="00377472">
      <w:pPr>
        <w:spacing w:before="10" w:after="0" w:line="240" w:lineRule="auto"/>
        <w:ind w:right="-11"/>
        <w:jc w:val="center"/>
        <w:rPr>
          <w:rFonts w:eastAsia="Candara" w:cs="Candara"/>
          <w:b/>
        </w:rPr>
      </w:pPr>
      <w:r w:rsidRPr="007223FB">
        <w:rPr>
          <w:rFonts w:eastAsia="Candara" w:cs="Candara"/>
          <w:b/>
        </w:rPr>
        <w:lastRenderedPageBreak/>
        <w:t>Sec</w:t>
      </w:r>
      <w:r w:rsidRPr="007223FB">
        <w:rPr>
          <w:rFonts w:eastAsia="Candara" w:cs="Candara"/>
          <w:b/>
          <w:spacing w:val="-1"/>
        </w:rPr>
        <w:t>r</w:t>
      </w:r>
      <w:r w:rsidRPr="007223FB">
        <w:rPr>
          <w:rFonts w:eastAsia="Candara" w:cs="Candara"/>
          <w:b/>
        </w:rPr>
        <w:t>e</w:t>
      </w:r>
      <w:r w:rsidRPr="007223FB">
        <w:rPr>
          <w:rFonts w:eastAsia="Candara" w:cs="Candara"/>
          <w:b/>
          <w:spacing w:val="-1"/>
        </w:rPr>
        <w:t>t</w:t>
      </w:r>
      <w:r w:rsidRPr="007223FB">
        <w:rPr>
          <w:rFonts w:eastAsia="Candara" w:cs="Candara"/>
          <w:b/>
        </w:rPr>
        <w:t>a</w:t>
      </w:r>
      <w:r w:rsidRPr="007223FB">
        <w:rPr>
          <w:rFonts w:eastAsia="Candara" w:cs="Candara"/>
          <w:b/>
          <w:spacing w:val="-1"/>
        </w:rPr>
        <w:t>r</w:t>
      </w:r>
      <w:r w:rsidRPr="007223FB">
        <w:rPr>
          <w:rFonts w:eastAsia="Candara" w:cs="Candara"/>
          <w:b/>
        </w:rPr>
        <w:t>ía</w:t>
      </w:r>
      <w:r w:rsidRPr="007223FB">
        <w:rPr>
          <w:rFonts w:eastAsia="Candara" w:cs="Candara"/>
          <w:b/>
          <w:spacing w:val="22"/>
        </w:rPr>
        <w:t xml:space="preserve"> </w:t>
      </w:r>
      <w:r w:rsidRPr="007223FB">
        <w:rPr>
          <w:rFonts w:eastAsia="Candara" w:cs="Candara"/>
          <w:b/>
          <w:spacing w:val="1"/>
        </w:rPr>
        <w:t>d</w:t>
      </w:r>
      <w:r w:rsidRPr="007223FB">
        <w:rPr>
          <w:rFonts w:eastAsia="Candara" w:cs="Candara"/>
          <w:b/>
        </w:rPr>
        <w:t>e P</w:t>
      </w:r>
      <w:r w:rsidRPr="007223FB">
        <w:rPr>
          <w:rFonts w:eastAsia="Candara" w:cs="Candara"/>
          <w:b/>
          <w:spacing w:val="1"/>
        </w:rPr>
        <w:t>l</w:t>
      </w:r>
      <w:r w:rsidRPr="007223FB">
        <w:rPr>
          <w:rFonts w:eastAsia="Candara" w:cs="Candara"/>
          <w:b/>
        </w:rPr>
        <w:t>a</w:t>
      </w:r>
      <w:r w:rsidRPr="007223FB">
        <w:rPr>
          <w:rFonts w:eastAsia="Candara" w:cs="Candara"/>
          <w:b/>
          <w:spacing w:val="-1"/>
        </w:rPr>
        <w:t>n</w:t>
      </w:r>
      <w:r w:rsidRPr="007223FB">
        <w:rPr>
          <w:rFonts w:eastAsia="Candara" w:cs="Candara"/>
          <w:b/>
        </w:rPr>
        <w:t>ificaci</w:t>
      </w:r>
      <w:r w:rsidRPr="007223FB">
        <w:rPr>
          <w:rFonts w:eastAsia="Candara" w:cs="Candara"/>
          <w:b/>
          <w:spacing w:val="-3"/>
        </w:rPr>
        <w:t>ó</w:t>
      </w:r>
      <w:r w:rsidRPr="007223FB">
        <w:rPr>
          <w:rFonts w:eastAsia="Candara" w:cs="Candara"/>
          <w:b/>
        </w:rPr>
        <w:t>n</w:t>
      </w:r>
      <w:r w:rsidRPr="007223FB">
        <w:rPr>
          <w:rFonts w:eastAsia="Candara" w:cs="Candara"/>
          <w:b/>
          <w:spacing w:val="31"/>
        </w:rPr>
        <w:t xml:space="preserve"> </w:t>
      </w:r>
      <w:r w:rsidRPr="007223FB">
        <w:rPr>
          <w:rFonts w:eastAsia="Candara" w:cs="Candara"/>
          <w:b/>
        </w:rPr>
        <w:t>y</w:t>
      </w:r>
      <w:r w:rsidRPr="007223FB">
        <w:rPr>
          <w:rFonts w:eastAsia="Candara" w:cs="Candara"/>
          <w:b/>
          <w:spacing w:val="5"/>
        </w:rPr>
        <w:t xml:space="preserve"> </w:t>
      </w:r>
      <w:r w:rsidRPr="007223FB">
        <w:rPr>
          <w:rFonts w:eastAsia="Candara" w:cs="Candara"/>
          <w:b/>
        </w:rPr>
        <w:t>P</w:t>
      </w:r>
      <w:r w:rsidRPr="007223FB">
        <w:rPr>
          <w:rFonts w:eastAsia="Candara" w:cs="Candara"/>
          <w:b/>
          <w:spacing w:val="-1"/>
        </w:rPr>
        <w:t>ro</w:t>
      </w:r>
      <w:r w:rsidRPr="007223FB">
        <w:rPr>
          <w:rFonts w:eastAsia="Candara" w:cs="Candara"/>
          <w:b/>
          <w:spacing w:val="1"/>
        </w:rPr>
        <w:t>g</w:t>
      </w:r>
      <w:r w:rsidRPr="007223FB">
        <w:rPr>
          <w:rFonts w:eastAsia="Candara" w:cs="Candara"/>
          <w:b/>
          <w:spacing w:val="-1"/>
        </w:rPr>
        <w:t>r</w:t>
      </w:r>
      <w:r w:rsidRPr="007223FB">
        <w:rPr>
          <w:rFonts w:eastAsia="Candara" w:cs="Candara"/>
          <w:b/>
        </w:rPr>
        <w:t>a</w:t>
      </w:r>
      <w:r w:rsidRPr="007223FB">
        <w:rPr>
          <w:rFonts w:eastAsia="Candara" w:cs="Candara"/>
          <w:b/>
          <w:spacing w:val="1"/>
        </w:rPr>
        <w:t>m</w:t>
      </w:r>
      <w:r w:rsidRPr="007223FB">
        <w:rPr>
          <w:rFonts w:eastAsia="Candara" w:cs="Candara"/>
          <w:b/>
          <w:spacing w:val="-3"/>
        </w:rPr>
        <w:t>a</w:t>
      </w:r>
      <w:r w:rsidRPr="007223FB">
        <w:rPr>
          <w:rFonts w:eastAsia="Candara" w:cs="Candara"/>
          <w:b/>
        </w:rPr>
        <w:t>ci</w:t>
      </w:r>
      <w:r w:rsidRPr="007223FB">
        <w:rPr>
          <w:rFonts w:eastAsia="Candara" w:cs="Candara"/>
          <w:b/>
          <w:spacing w:val="-1"/>
        </w:rPr>
        <w:t>ó</w:t>
      </w:r>
      <w:r w:rsidRPr="007223FB">
        <w:rPr>
          <w:rFonts w:eastAsia="Candara" w:cs="Candara"/>
          <w:b/>
        </w:rPr>
        <w:t>n</w:t>
      </w:r>
      <w:r w:rsidRPr="007223FB">
        <w:rPr>
          <w:rFonts w:eastAsia="Candara" w:cs="Candara"/>
          <w:b/>
          <w:spacing w:val="23"/>
        </w:rPr>
        <w:t xml:space="preserve"> </w:t>
      </w:r>
      <w:r w:rsidRPr="007223FB">
        <w:rPr>
          <w:rFonts w:eastAsia="Candara" w:cs="Candara"/>
          <w:b/>
          <w:spacing w:val="1"/>
        </w:rPr>
        <w:t>d</w:t>
      </w:r>
      <w:r w:rsidRPr="007223FB">
        <w:rPr>
          <w:rFonts w:eastAsia="Candara" w:cs="Candara"/>
          <w:b/>
        </w:rPr>
        <w:t xml:space="preserve">e </w:t>
      </w:r>
      <w:r w:rsidRPr="007223FB">
        <w:rPr>
          <w:rFonts w:eastAsia="Candara" w:cs="Candara"/>
          <w:b/>
          <w:spacing w:val="1"/>
        </w:rPr>
        <w:t>l</w:t>
      </w:r>
      <w:r w:rsidRPr="007223FB">
        <w:rPr>
          <w:rFonts w:eastAsia="Candara" w:cs="Candara"/>
          <w:b/>
        </w:rPr>
        <w:t>a</w:t>
      </w:r>
      <w:r w:rsidRPr="007223FB">
        <w:rPr>
          <w:rFonts w:eastAsia="Candara" w:cs="Candara"/>
          <w:b/>
          <w:spacing w:val="6"/>
        </w:rPr>
        <w:t xml:space="preserve"> </w:t>
      </w:r>
      <w:r w:rsidRPr="007223FB">
        <w:rPr>
          <w:rFonts w:eastAsia="Candara" w:cs="Candara"/>
          <w:b/>
        </w:rPr>
        <w:t>P</w:t>
      </w:r>
      <w:r w:rsidRPr="007223FB">
        <w:rPr>
          <w:rFonts w:eastAsia="Candara" w:cs="Candara"/>
          <w:b/>
          <w:spacing w:val="-3"/>
          <w:w w:val="109"/>
        </w:rPr>
        <w:t>r</w:t>
      </w:r>
      <w:r w:rsidRPr="007223FB">
        <w:rPr>
          <w:rFonts w:eastAsia="Candara" w:cs="Candara"/>
          <w:b/>
        </w:rPr>
        <w:t>e</w:t>
      </w:r>
      <w:r w:rsidRPr="007223FB">
        <w:rPr>
          <w:rFonts w:eastAsia="Candara" w:cs="Candara"/>
          <w:b/>
          <w:spacing w:val="1"/>
        </w:rPr>
        <w:t>s</w:t>
      </w:r>
      <w:r w:rsidRPr="007223FB">
        <w:rPr>
          <w:rFonts w:eastAsia="Candara" w:cs="Candara"/>
          <w:b/>
          <w:w w:val="114"/>
        </w:rPr>
        <w:t>i</w:t>
      </w:r>
      <w:r w:rsidRPr="007223FB">
        <w:rPr>
          <w:rFonts w:eastAsia="Candara" w:cs="Candara"/>
          <w:b/>
          <w:spacing w:val="1"/>
        </w:rPr>
        <w:t>d</w:t>
      </w:r>
      <w:r w:rsidRPr="007223FB">
        <w:rPr>
          <w:rFonts w:eastAsia="Candara" w:cs="Candara"/>
          <w:b/>
          <w:spacing w:val="-3"/>
        </w:rPr>
        <w:t>e</w:t>
      </w:r>
      <w:r w:rsidRPr="007223FB">
        <w:rPr>
          <w:rFonts w:eastAsia="Candara" w:cs="Candara"/>
          <w:b/>
          <w:spacing w:val="1"/>
          <w:w w:val="101"/>
        </w:rPr>
        <w:t>n</w:t>
      </w:r>
      <w:r w:rsidRPr="007223FB">
        <w:rPr>
          <w:rFonts w:eastAsia="Candara" w:cs="Candara"/>
          <w:b/>
          <w:w w:val="98"/>
        </w:rPr>
        <w:t>c</w:t>
      </w:r>
      <w:r w:rsidRPr="007223FB">
        <w:rPr>
          <w:rFonts w:eastAsia="Candara" w:cs="Candara"/>
          <w:b/>
          <w:w w:val="114"/>
        </w:rPr>
        <w:t>i</w:t>
      </w:r>
      <w:r w:rsidRPr="007223FB">
        <w:rPr>
          <w:rFonts w:eastAsia="Candara" w:cs="Candara"/>
          <w:b/>
        </w:rPr>
        <w:t>a</w:t>
      </w:r>
    </w:p>
    <w:p w:rsidR="00377472" w:rsidRPr="007223FB" w:rsidRDefault="00377472" w:rsidP="00377472">
      <w:pPr>
        <w:spacing w:after="0" w:line="240" w:lineRule="auto"/>
        <w:ind w:right="-11"/>
        <w:jc w:val="center"/>
        <w:rPr>
          <w:rFonts w:eastAsia="Candara" w:cs="Candara"/>
        </w:rPr>
      </w:pPr>
      <w:r w:rsidRPr="007223FB">
        <w:rPr>
          <w:rFonts w:eastAsia="Candara" w:cs="Candara"/>
          <w:b/>
        </w:rPr>
        <w:t>-</w:t>
      </w:r>
      <w:r w:rsidRPr="007223FB">
        <w:rPr>
          <w:rFonts w:eastAsia="Candara" w:cs="Candara"/>
          <w:b/>
          <w:w w:val="102"/>
        </w:rPr>
        <w:t>S</w:t>
      </w:r>
      <w:r w:rsidR="00995FE2" w:rsidRPr="007223FB">
        <w:rPr>
          <w:rFonts w:eastAsia="Candara" w:cs="Candara"/>
          <w:b/>
        </w:rPr>
        <w:t>EGEPLAN</w:t>
      </w:r>
      <w:r w:rsidRPr="007223FB">
        <w:rPr>
          <w:rFonts w:eastAsia="Candara" w:cs="Candara"/>
        </w:rPr>
        <w:t>-</w:t>
      </w:r>
    </w:p>
    <w:p w:rsidR="00377472" w:rsidRPr="007223FB" w:rsidRDefault="00377472" w:rsidP="00377472">
      <w:pPr>
        <w:spacing w:before="7" w:after="0" w:line="260" w:lineRule="exact"/>
        <w:ind w:right="-11"/>
        <w:jc w:val="center"/>
      </w:pPr>
    </w:p>
    <w:p w:rsidR="00377472" w:rsidRPr="007223FB" w:rsidRDefault="00377472" w:rsidP="00377472">
      <w:pPr>
        <w:spacing w:after="0" w:line="240" w:lineRule="auto"/>
        <w:ind w:right="-11"/>
        <w:jc w:val="center"/>
        <w:rPr>
          <w:rFonts w:eastAsia="Candara" w:cs="Candara"/>
          <w:b/>
        </w:rPr>
      </w:pPr>
      <w:r w:rsidRPr="007223FB">
        <w:rPr>
          <w:rFonts w:eastAsia="Candara" w:cs="Candara"/>
          <w:b/>
          <w:spacing w:val="-1"/>
        </w:rPr>
        <w:t>M</w:t>
      </w:r>
      <w:r w:rsidRPr="007223FB">
        <w:rPr>
          <w:rFonts w:eastAsia="Candara" w:cs="Candara"/>
          <w:b/>
        </w:rPr>
        <w:t>i</w:t>
      </w:r>
      <w:r w:rsidRPr="007223FB">
        <w:rPr>
          <w:rFonts w:eastAsia="Candara" w:cs="Candara"/>
          <w:b/>
          <w:spacing w:val="1"/>
        </w:rPr>
        <w:t>gu</w:t>
      </w:r>
      <w:r w:rsidRPr="007223FB">
        <w:rPr>
          <w:rFonts w:eastAsia="Candara" w:cs="Candara"/>
          <w:b/>
        </w:rPr>
        <w:t>el</w:t>
      </w:r>
      <w:r w:rsidRPr="007223FB">
        <w:rPr>
          <w:rFonts w:eastAsia="Candara" w:cs="Candara"/>
          <w:b/>
          <w:spacing w:val="17"/>
        </w:rPr>
        <w:t xml:space="preserve"> </w:t>
      </w:r>
      <w:r w:rsidR="004079C5" w:rsidRPr="007223FB">
        <w:rPr>
          <w:rFonts w:eastAsia="Candara" w:cs="Candara"/>
          <w:b/>
        </w:rPr>
        <w:t>Á</w:t>
      </w:r>
      <w:r w:rsidR="004079C5" w:rsidRPr="007223FB">
        <w:rPr>
          <w:rFonts w:eastAsia="Candara" w:cs="Candara"/>
          <w:b/>
          <w:spacing w:val="-1"/>
        </w:rPr>
        <w:t>n</w:t>
      </w:r>
      <w:r w:rsidR="004079C5" w:rsidRPr="007223FB">
        <w:rPr>
          <w:rFonts w:eastAsia="Candara" w:cs="Candara"/>
          <w:b/>
          <w:spacing w:val="1"/>
        </w:rPr>
        <w:t>g</w:t>
      </w:r>
      <w:r w:rsidR="004079C5" w:rsidRPr="007223FB">
        <w:rPr>
          <w:rFonts w:eastAsia="Candara" w:cs="Candara"/>
          <w:b/>
        </w:rPr>
        <w:t>el</w:t>
      </w:r>
      <w:r w:rsidRPr="007223FB">
        <w:rPr>
          <w:rFonts w:eastAsia="Candara" w:cs="Candara"/>
          <w:b/>
          <w:spacing w:val="13"/>
        </w:rPr>
        <w:t xml:space="preserve"> </w:t>
      </w:r>
      <w:r w:rsidRPr="007223FB">
        <w:rPr>
          <w:rFonts w:eastAsia="Candara" w:cs="Candara"/>
          <w:b/>
          <w:spacing w:val="-1"/>
        </w:rPr>
        <w:t>Mo</w:t>
      </w:r>
      <w:r w:rsidRPr="007223FB">
        <w:rPr>
          <w:rFonts w:eastAsia="Candara" w:cs="Candara"/>
          <w:b/>
        </w:rPr>
        <w:t>ir</w:t>
      </w:r>
      <w:r w:rsidRPr="007223FB">
        <w:rPr>
          <w:rFonts w:eastAsia="Candara" w:cs="Candara"/>
          <w:b/>
          <w:spacing w:val="15"/>
        </w:rPr>
        <w:t xml:space="preserve"> </w:t>
      </w:r>
      <w:r w:rsidRPr="007223FB">
        <w:rPr>
          <w:rFonts w:eastAsia="Candara" w:cs="Candara"/>
          <w:b/>
          <w:w w:val="102"/>
        </w:rPr>
        <w:t>S</w:t>
      </w:r>
      <w:r w:rsidRPr="007223FB">
        <w:rPr>
          <w:rFonts w:eastAsia="Candara" w:cs="Candara"/>
          <w:b/>
          <w:spacing w:val="-3"/>
        </w:rPr>
        <w:t>a</w:t>
      </w:r>
      <w:r w:rsidRPr="007223FB">
        <w:rPr>
          <w:rFonts w:eastAsia="Candara" w:cs="Candara"/>
          <w:b/>
          <w:spacing w:val="1"/>
          <w:w w:val="101"/>
        </w:rPr>
        <w:t>n</w:t>
      </w:r>
      <w:r w:rsidRPr="007223FB">
        <w:rPr>
          <w:rFonts w:eastAsia="Candara" w:cs="Candara"/>
          <w:b/>
          <w:spacing w:val="1"/>
        </w:rPr>
        <w:t>d</w:t>
      </w:r>
      <w:r w:rsidRPr="007223FB">
        <w:rPr>
          <w:rFonts w:eastAsia="Candara" w:cs="Candara"/>
          <w:b/>
          <w:spacing w:val="-3"/>
        </w:rPr>
        <w:t>o</w:t>
      </w:r>
      <w:r w:rsidRPr="007223FB">
        <w:rPr>
          <w:rFonts w:eastAsia="Candara" w:cs="Candara"/>
          <w:b/>
          <w:w w:val="102"/>
        </w:rPr>
        <w:t>v</w:t>
      </w:r>
      <w:r w:rsidRPr="007223FB">
        <w:rPr>
          <w:rFonts w:eastAsia="Candara" w:cs="Candara"/>
          <w:b/>
        </w:rPr>
        <w:t>a</w:t>
      </w:r>
      <w:r w:rsidRPr="007223FB">
        <w:rPr>
          <w:rFonts w:eastAsia="Candara" w:cs="Candara"/>
          <w:b/>
          <w:w w:val="112"/>
        </w:rPr>
        <w:t>l</w:t>
      </w:r>
    </w:p>
    <w:p w:rsidR="00377472" w:rsidRPr="007223FB" w:rsidRDefault="00377472" w:rsidP="00377472">
      <w:pPr>
        <w:spacing w:after="0" w:line="240" w:lineRule="auto"/>
        <w:ind w:right="-11"/>
        <w:jc w:val="center"/>
        <w:rPr>
          <w:rFonts w:eastAsia="Candara" w:cs="Candara"/>
        </w:rPr>
      </w:pPr>
      <w:r w:rsidRPr="007223FB">
        <w:rPr>
          <w:rFonts w:eastAsia="Candara" w:cs="Candara"/>
        </w:rPr>
        <w:t>Se</w:t>
      </w:r>
      <w:r w:rsidRPr="007223FB">
        <w:rPr>
          <w:rFonts w:eastAsia="Candara" w:cs="Candara"/>
          <w:spacing w:val="1"/>
        </w:rPr>
        <w:t>cr</w:t>
      </w:r>
      <w:r w:rsidRPr="007223FB">
        <w:rPr>
          <w:rFonts w:eastAsia="Candara" w:cs="Candara"/>
        </w:rPr>
        <w:t>et</w:t>
      </w:r>
      <w:r w:rsidRPr="007223FB">
        <w:rPr>
          <w:rFonts w:eastAsia="Candara" w:cs="Candara"/>
          <w:spacing w:val="-2"/>
        </w:rPr>
        <w:t>a</w:t>
      </w:r>
      <w:r w:rsidRPr="007223FB">
        <w:rPr>
          <w:rFonts w:eastAsia="Candara" w:cs="Candara"/>
          <w:spacing w:val="1"/>
        </w:rPr>
        <w:t>r</w:t>
      </w:r>
      <w:r w:rsidRPr="007223FB">
        <w:rPr>
          <w:rFonts w:eastAsia="Candara" w:cs="Candara"/>
        </w:rPr>
        <w:t xml:space="preserve">io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spacing w:val="1"/>
        </w:rPr>
        <w:t>P</w:t>
      </w:r>
      <w:r w:rsidRPr="007223FB">
        <w:rPr>
          <w:rFonts w:eastAsia="Candara" w:cs="Candara"/>
        </w:rPr>
        <w:t>la</w:t>
      </w:r>
      <w:r w:rsidRPr="007223FB">
        <w:rPr>
          <w:rFonts w:eastAsia="Candara" w:cs="Candara"/>
          <w:spacing w:val="1"/>
        </w:rPr>
        <w:t>n</w:t>
      </w:r>
      <w:r w:rsidRPr="007223FB">
        <w:rPr>
          <w:rFonts w:eastAsia="Candara" w:cs="Candara"/>
        </w:rPr>
        <w:t>if</w:t>
      </w:r>
      <w:r w:rsidRPr="007223FB">
        <w:rPr>
          <w:rFonts w:eastAsia="Candara" w:cs="Candara"/>
          <w:spacing w:val="-2"/>
        </w:rPr>
        <w:t>i</w:t>
      </w:r>
      <w:r w:rsidRPr="007223FB">
        <w:rPr>
          <w:rFonts w:eastAsia="Candara" w:cs="Candara"/>
          <w:spacing w:val="1"/>
        </w:rPr>
        <w:t>c</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y</w:t>
      </w:r>
      <w:r w:rsidRPr="007223FB">
        <w:rPr>
          <w:rFonts w:eastAsia="Candara" w:cs="Candara"/>
          <w:spacing w:val="1"/>
        </w:rPr>
        <w:t xml:space="preserve"> Pr</w:t>
      </w:r>
      <w:r w:rsidRPr="007223FB">
        <w:rPr>
          <w:rFonts w:eastAsia="Candara" w:cs="Candara"/>
          <w:spacing w:val="-3"/>
        </w:rPr>
        <w:t>o</w:t>
      </w:r>
      <w:r w:rsidRPr="007223FB">
        <w:rPr>
          <w:rFonts w:eastAsia="Candara" w:cs="Candara"/>
          <w:spacing w:val="1"/>
        </w:rPr>
        <w:t>gr</w:t>
      </w:r>
      <w:r w:rsidRPr="007223FB">
        <w:rPr>
          <w:rFonts w:eastAsia="Candara" w:cs="Candara"/>
        </w:rPr>
        <w:t>am</w:t>
      </w:r>
      <w:r w:rsidRPr="007223FB">
        <w:rPr>
          <w:rFonts w:eastAsia="Candara" w:cs="Candara"/>
          <w:spacing w:val="-2"/>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spacing w:val="1"/>
        </w:rPr>
        <w:t>d</w:t>
      </w:r>
      <w:r w:rsidRPr="007223FB">
        <w:rPr>
          <w:rFonts w:eastAsia="Candara" w:cs="Candara"/>
        </w:rPr>
        <w:t xml:space="preserve">e la </w:t>
      </w:r>
      <w:r w:rsidRPr="007223FB">
        <w:rPr>
          <w:rFonts w:eastAsia="Candara" w:cs="Candara"/>
          <w:spacing w:val="-2"/>
        </w:rPr>
        <w:t>P</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i</w:t>
      </w:r>
      <w:r w:rsidRPr="007223FB">
        <w:rPr>
          <w:rFonts w:eastAsia="Candara" w:cs="Candara"/>
          <w:spacing w:val="1"/>
        </w:rPr>
        <w:t>d</w:t>
      </w:r>
      <w:r w:rsidRPr="007223FB">
        <w:rPr>
          <w:rFonts w:eastAsia="Candara" w:cs="Candara"/>
          <w:spacing w:val="-2"/>
        </w:rPr>
        <w:t>e</w:t>
      </w:r>
      <w:r w:rsidRPr="007223FB">
        <w:rPr>
          <w:rFonts w:eastAsia="Candara" w:cs="Candara"/>
          <w:spacing w:val="1"/>
        </w:rPr>
        <w:t>n</w:t>
      </w:r>
      <w:r w:rsidRPr="007223FB">
        <w:rPr>
          <w:rFonts w:eastAsia="Candara" w:cs="Candara"/>
          <w:spacing w:val="-1"/>
        </w:rPr>
        <w:t>c</w:t>
      </w:r>
      <w:r w:rsidRPr="007223FB">
        <w:rPr>
          <w:rFonts w:eastAsia="Candara" w:cs="Candara"/>
        </w:rPr>
        <w:t>ia</w:t>
      </w:r>
    </w:p>
    <w:p w:rsidR="00377472" w:rsidRPr="007223FB" w:rsidRDefault="00377472" w:rsidP="00377472">
      <w:pPr>
        <w:spacing w:before="9" w:after="0" w:line="260" w:lineRule="exact"/>
        <w:ind w:right="-11"/>
        <w:jc w:val="center"/>
      </w:pPr>
    </w:p>
    <w:p w:rsidR="00377472" w:rsidRPr="007223FB" w:rsidRDefault="00377472" w:rsidP="00377472">
      <w:pPr>
        <w:spacing w:after="0" w:line="240" w:lineRule="auto"/>
        <w:ind w:right="-11"/>
        <w:jc w:val="center"/>
        <w:rPr>
          <w:rFonts w:eastAsia="Candara" w:cs="Candara"/>
          <w:b/>
        </w:rPr>
      </w:pPr>
      <w:r w:rsidRPr="007223FB">
        <w:rPr>
          <w:rFonts w:eastAsia="Candara" w:cs="Candara"/>
          <w:b/>
          <w:spacing w:val="1"/>
        </w:rPr>
        <w:t>Lu</w:t>
      </w:r>
      <w:r w:rsidRPr="007223FB">
        <w:rPr>
          <w:rFonts w:eastAsia="Candara" w:cs="Candara"/>
          <w:b/>
          <w:spacing w:val="-2"/>
        </w:rPr>
        <w:t>i</w:t>
      </w:r>
      <w:r w:rsidRPr="007223FB">
        <w:rPr>
          <w:rFonts w:eastAsia="Candara" w:cs="Candara"/>
          <w:b/>
        </w:rPr>
        <w:t>s</w:t>
      </w:r>
      <w:r w:rsidRPr="007223FB">
        <w:rPr>
          <w:rFonts w:eastAsia="Candara" w:cs="Candara"/>
          <w:b/>
          <w:spacing w:val="8"/>
        </w:rPr>
        <w:t xml:space="preserve"> </w:t>
      </w:r>
      <w:r w:rsidRPr="007223FB">
        <w:rPr>
          <w:rFonts w:eastAsia="Candara" w:cs="Candara"/>
          <w:b/>
          <w:spacing w:val="-1"/>
        </w:rPr>
        <w:t>E</w:t>
      </w:r>
      <w:r w:rsidRPr="007223FB">
        <w:rPr>
          <w:rFonts w:eastAsia="Candara" w:cs="Candara"/>
          <w:b/>
          <w:spacing w:val="1"/>
        </w:rPr>
        <w:t>s</w:t>
      </w:r>
      <w:r w:rsidRPr="007223FB">
        <w:rPr>
          <w:rFonts w:eastAsia="Candara" w:cs="Candara"/>
          <w:b/>
          <w:spacing w:val="-1"/>
        </w:rPr>
        <w:t>t</w:t>
      </w:r>
      <w:r w:rsidRPr="007223FB">
        <w:rPr>
          <w:rFonts w:eastAsia="Candara" w:cs="Candara"/>
          <w:b/>
          <w:spacing w:val="1"/>
        </w:rPr>
        <w:t>u</w:t>
      </w:r>
      <w:r w:rsidRPr="007223FB">
        <w:rPr>
          <w:rFonts w:eastAsia="Candara" w:cs="Candara"/>
          <w:b/>
        </w:rPr>
        <w:t>a</w:t>
      </w:r>
      <w:r w:rsidRPr="007223FB">
        <w:rPr>
          <w:rFonts w:eastAsia="Candara" w:cs="Candara"/>
          <w:b/>
          <w:spacing w:val="-1"/>
        </w:rPr>
        <w:t>r</w:t>
      </w:r>
      <w:r w:rsidRPr="007223FB">
        <w:rPr>
          <w:rFonts w:eastAsia="Candara" w:cs="Candara"/>
          <w:b/>
          <w:spacing w:val="1"/>
        </w:rPr>
        <w:t>d</w:t>
      </w:r>
      <w:r w:rsidRPr="007223FB">
        <w:rPr>
          <w:rFonts w:eastAsia="Candara" w:cs="Candara"/>
          <w:b/>
        </w:rPr>
        <w:t>o</w:t>
      </w:r>
      <w:r w:rsidRPr="007223FB">
        <w:rPr>
          <w:rFonts w:eastAsia="Candara" w:cs="Candara"/>
          <w:b/>
          <w:spacing w:val="10"/>
        </w:rPr>
        <w:t xml:space="preserve"> </w:t>
      </w:r>
      <w:r w:rsidRPr="007223FB">
        <w:rPr>
          <w:rFonts w:eastAsia="Candara" w:cs="Candara"/>
          <w:b/>
          <w:spacing w:val="-2"/>
        </w:rPr>
        <w:t>O</w:t>
      </w:r>
      <w:r w:rsidRPr="007223FB">
        <w:rPr>
          <w:rFonts w:eastAsia="Candara" w:cs="Candara"/>
          <w:b/>
        </w:rPr>
        <w:t>va</w:t>
      </w:r>
      <w:r w:rsidRPr="007223FB">
        <w:rPr>
          <w:rFonts w:eastAsia="Candara" w:cs="Candara"/>
          <w:b/>
          <w:spacing w:val="-1"/>
        </w:rPr>
        <w:t>n</w:t>
      </w:r>
      <w:r w:rsidRPr="007223FB">
        <w:rPr>
          <w:rFonts w:eastAsia="Candara" w:cs="Candara"/>
          <w:b/>
          <w:spacing w:val="1"/>
        </w:rPr>
        <w:t>d</w:t>
      </w:r>
      <w:r w:rsidRPr="007223FB">
        <w:rPr>
          <w:rFonts w:eastAsia="Candara" w:cs="Candara"/>
          <w:b/>
        </w:rPr>
        <w:t>o</w:t>
      </w:r>
      <w:r w:rsidRPr="007223FB">
        <w:rPr>
          <w:rFonts w:eastAsia="Candara" w:cs="Candara"/>
          <w:b/>
          <w:spacing w:val="3"/>
        </w:rPr>
        <w:t xml:space="preserve"> </w:t>
      </w:r>
      <w:r w:rsidRPr="007223FB">
        <w:rPr>
          <w:rFonts w:eastAsia="Candara" w:cs="Candara"/>
          <w:b/>
          <w:spacing w:val="1"/>
          <w:w w:val="99"/>
        </w:rPr>
        <w:t>L</w:t>
      </w:r>
      <w:r w:rsidRPr="007223FB">
        <w:rPr>
          <w:rFonts w:eastAsia="Candara" w:cs="Candara"/>
          <w:b/>
        </w:rPr>
        <w:t>a</w:t>
      </w:r>
      <w:r w:rsidRPr="007223FB">
        <w:rPr>
          <w:rFonts w:eastAsia="Candara" w:cs="Candara"/>
          <w:b/>
          <w:spacing w:val="-2"/>
          <w:w w:val="102"/>
        </w:rPr>
        <w:t>v</w:t>
      </w:r>
      <w:r w:rsidRPr="007223FB">
        <w:rPr>
          <w:rFonts w:eastAsia="Candara" w:cs="Candara"/>
          <w:b/>
        </w:rPr>
        <w:t>a</w:t>
      </w:r>
      <w:r w:rsidRPr="007223FB">
        <w:rPr>
          <w:rFonts w:eastAsia="Candara" w:cs="Candara"/>
          <w:b/>
          <w:spacing w:val="1"/>
          <w:w w:val="102"/>
        </w:rPr>
        <w:t>g</w:t>
      </w:r>
      <w:r w:rsidRPr="007223FB">
        <w:rPr>
          <w:rFonts w:eastAsia="Candara" w:cs="Candara"/>
          <w:b/>
          <w:spacing w:val="1"/>
          <w:w w:val="101"/>
        </w:rPr>
        <w:t>n</w:t>
      </w:r>
      <w:r w:rsidRPr="007223FB">
        <w:rPr>
          <w:rFonts w:eastAsia="Candara" w:cs="Candara"/>
          <w:b/>
          <w:spacing w:val="-2"/>
          <w:w w:val="114"/>
        </w:rPr>
        <w:t>i</w:t>
      </w:r>
      <w:r w:rsidRPr="007223FB">
        <w:rPr>
          <w:rFonts w:eastAsia="Candara" w:cs="Candara"/>
          <w:b/>
          <w:spacing w:val="1"/>
          <w:w w:val="101"/>
        </w:rPr>
        <w:t>n</w:t>
      </w:r>
      <w:r w:rsidRPr="007223FB">
        <w:rPr>
          <w:rFonts w:eastAsia="Candara" w:cs="Candara"/>
          <w:b/>
        </w:rPr>
        <w:t>o</w:t>
      </w:r>
    </w:p>
    <w:p w:rsidR="00377472" w:rsidRPr="007223FB" w:rsidRDefault="00377472" w:rsidP="00377472">
      <w:pPr>
        <w:spacing w:after="0" w:line="240" w:lineRule="auto"/>
        <w:ind w:right="-11"/>
        <w:jc w:val="center"/>
        <w:rPr>
          <w:rFonts w:eastAsia="Candara" w:cs="Candara"/>
        </w:rPr>
      </w:pPr>
      <w:r w:rsidRPr="007223FB">
        <w:rPr>
          <w:rFonts w:eastAsia="Candara" w:cs="Candara"/>
        </w:rPr>
        <w:t xml:space="preserve">Subsecretario de Planificación y </w:t>
      </w:r>
      <w:r w:rsidR="003A4379" w:rsidRPr="007223FB">
        <w:rPr>
          <w:rFonts w:eastAsia="Candara" w:cs="Candara"/>
        </w:rPr>
        <w:t>Programación para el Desarrollo</w:t>
      </w:r>
    </w:p>
    <w:p w:rsidR="00377472" w:rsidRPr="007223FB" w:rsidRDefault="00377472" w:rsidP="00377472">
      <w:pPr>
        <w:spacing w:after="0" w:line="240" w:lineRule="auto"/>
        <w:ind w:left="2845" w:right="-11"/>
        <w:jc w:val="center"/>
        <w:rPr>
          <w:rFonts w:eastAsia="Candara" w:cs="Candara"/>
          <w:spacing w:val="1"/>
        </w:rPr>
      </w:pPr>
    </w:p>
    <w:p w:rsidR="00563FF7" w:rsidRPr="007223FB" w:rsidRDefault="00563FF7" w:rsidP="00563FF7">
      <w:pPr>
        <w:spacing w:after="0" w:line="240" w:lineRule="auto"/>
        <w:ind w:right="-11"/>
        <w:jc w:val="center"/>
        <w:rPr>
          <w:rFonts w:eastAsia="Candara" w:cs="Candara"/>
          <w:b/>
        </w:rPr>
      </w:pPr>
      <w:r w:rsidRPr="007223FB">
        <w:rPr>
          <w:rFonts w:eastAsia="Candara" w:cs="Candara"/>
          <w:b/>
          <w:spacing w:val="1"/>
        </w:rPr>
        <w:t>Ramón Conrado Aguilar Reyes</w:t>
      </w:r>
    </w:p>
    <w:p w:rsidR="00563FF7" w:rsidRPr="007223FB" w:rsidRDefault="00563FF7" w:rsidP="00563FF7">
      <w:pPr>
        <w:spacing w:after="0" w:line="240" w:lineRule="auto"/>
        <w:ind w:right="-11"/>
        <w:jc w:val="center"/>
        <w:rPr>
          <w:rFonts w:eastAsia="Candara" w:cs="Candara"/>
        </w:rPr>
      </w:pPr>
      <w:r w:rsidRPr="007223FB">
        <w:rPr>
          <w:rFonts w:eastAsia="Candara" w:cs="Candara"/>
        </w:rPr>
        <w:t xml:space="preserve">Subsecretario de </w:t>
      </w:r>
      <w:r w:rsidR="003A4379" w:rsidRPr="007223FB">
        <w:rPr>
          <w:rFonts w:eastAsia="Candara" w:cs="Candara"/>
        </w:rPr>
        <w:t>Análisis Estratégico del Desarrollo</w:t>
      </w:r>
    </w:p>
    <w:p w:rsidR="00563FF7" w:rsidRPr="007223FB" w:rsidRDefault="00563FF7" w:rsidP="00377472">
      <w:pPr>
        <w:spacing w:after="0" w:line="240" w:lineRule="auto"/>
        <w:ind w:left="2845" w:right="-11"/>
        <w:jc w:val="center"/>
        <w:rPr>
          <w:rFonts w:eastAsia="Candara" w:cs="Candara"/>
          <w:spacing w:val="1"/>
        </w:rPr>
      </w:pPr>
    </w:p>
    <w:p w:rsidR="00377472" w:rsidRPr="007223FB" w:rsidRDefault="00377472" w:rsidP="00377472">
      <w:pPr>
        <w:spacing w:after="0" w:line="240" w:lineRule="auto"/>
        <w:ind w:right="-11"/>
        <w:jc w:val="center"/>
        <w:rPr>
          <w:rFonts w:eastAsia="Candara" w:cs="Candara"/>
          <w:b/>
        </w:rPr>
      </w:pPr>
      <w:r w:rsidRPr="007223FB">
        <w:rPr>
          <w:rFonts w:eastAsia="Candara" w:cs="Candara"/>
          <w:b/>
          <w:spacing w:val="1"/>
        </w:rPr>
        <w:t>Lu</w:t>
      </w:r>
      <w:r w:rsidRPr="007223FB">
        <w:rPr>
          <w:rFonts w:eastAsia="Candara" w:cs="Candara"/>
          <w:b/>
          <w:spacing w:val="-2"/>
        </w:rPr>
        <w:t>i</w:t>
      </w:r>
      <w:r w:rsidRPr="007223FB">
        <w:rPr>
          <w:rFonts w:eastAsia="Candara" w:cs="Candara"/>
          <w:b/>
        </w:rPr>
        <w:t>s</w:t>
      </w:r>
      <w:r w:rsidRPr="007223FB">
        <w:rPr>
          <w:rFonts w:eastAsia="Candara" w:cs="Candara"/>
          <w:b/>
          <w:spacing w:val="8"/>
        </w:rPr>
        <w:t xml:space="preserve"> </w:t>
      </w:r>
      <w:r w:rsidRPr="007223FB">
        <w:rPr>
          <w:rFonts w:eastAsia="Candara" w:cs="Candara"/>
          <w:b/>
          <w:spacing w:val="-2"/>
        </w:rPr>
        <w:t>A</w:t>
      </w:r>
      <w:r w:rsidRPr="007223FB">
        <w:rPr>
          <w:rFonts w:eastAsia="Candara" w:cs="Candara"/>
          <w:b/>
          <w:spacing w:val="1"/>
        </w:rPr>
        <w:t>n</w:t>
      </w:r>
      <w:r w:rsidRPr="007223FB">
        <w:rPr>
          <w:rFonts w:eastAsia="Candara" w:cs="Candara"/>
          <w:b/>
          <w:spacing w:val="-1"/>
        </w:rPr>
        <w:t>to</w:t>
      </w:r>
      <w:r w:rsidRPr="007223FB">
        <w:rPr>
          <w:rFonts w:eastAsia="Candara" w:cs="Candara"/>
          <w:b/>
          <w:spacing w:val="1"/>
        </w:rPr>
        <w:t>n</w:t>
      </w:r>
      <w:r w:rsidRPr="007223FB">
        <w:rPr>
          <w:rFonts w:eastAsia="Candara" w:cs="Candara"/>
          <w:b/>
        </w:rPr>
        <w:t>io</w:t>
      </w:r>
      <w:r w:rsidRPr="007223FB">
        <w:rPr>
          <w:rFonts w:eastAsia="Candara" w:cs="Candara"/>
          <w:b/>
          <w:spacing w:val="13"/>
        </w:rPr>
        <w:t xml:space="preserve"> </w:t>
      </w:r>
      <w:r w:rsidRPr="007223FB">
        <w:rPr>
          <w:rFonts w:eastAsia="Candara" w:cs="Candara"/>
          <w:b/>
          <w:spacing w:val="1"/>
        </w:rPr>
        <w:t>C</w:t>
      </w:r>
      <w:r w:rsidRPr="007223FB">
        <w:rPr>
          <w:rFonts w:eastAsia="Candara" w:cs="Candara"/>
          <w:b/>
        </w:rPr>
        <w:t>a</w:t>
      </w:r>
      <w:r w:rsidRPr="007223FB">
        <w:rPr>
          <w:rFonts w:eastAsia="Candara" w:cs="Candara"/>
          <w:b/>
          <w:spacing w:val="-1"/>
        </w:rPr>
        <w:t>t</w:t>
      </w:r>
      <w:r w:rsidRPr="007223FB">
        <w:rPr>
          <w:rFonts w:eastAsia="Candara" w:cs="Candara"/>
          <w:b/>
        </w:rPr>
        <w:t>a</w:t>
      </w:r>
      <w:r w:rsidRPr="007223FB">
        <w:rPr>
          <w:rFonts w:eastAsia="Candara" w:cs="Candara"/>
          <w:b/>
          <w:spacing w:val="1"/>
        </w:rPr>
        <w:t>l</w:t>
      </w:r>
      <w:r w:rsidRPr="007223FB">
        <w:rPr>
          <w:rFonts w:eastAsia="Candara" w:cs="Candara"/>
          <w:b/>
          <w:spacing w:val="-3"/>
        </w:rPr>
        <w:t>á</w:t>
      </w:r>
      <w:r w:rsidRPr="007223FB">
        <w:rPr>
          <w:rFonts w:eastAsia="Candara" w:cs="Candara"/>
          <w:b/>
        </w:rPr>
        <w:t>n</w:t>
      </w:r>
      <w:r w:rsidRPr="007223FB">
        <w:rPr>
          <w:rFonts w:eastAsia="Candara" w:cs="Candara"/>
          <w:b/>
          <w:spacing w:val="10"/>
        </w:rPr>
        <w:t xml:space="preserve"> </w:t>
      </w:r>
      <w:r w:rsidRPr="007223FB">
        <w:rPr>
          <w:rFonts w:eastAsia="Candara" w:cs="Candara"/>
          <w:b/>
        </w:rPr>
        <w:t>G</w:t>
      </w:r>
      <w:r w:rsidRPr="007223FB">
        <w:rPr>
          <w:rFonts w:eastAsia="Candara" w:cs="Candara"/>
          <w:b/>
          <w:spacing w:val="-3"/>
        </w:rPr>
        <w:t>ó</w:t>
      </w:r>
      <w:r w:rsidRPr="007223FB">
        <w:rPr>
          <w:rFonts w:eastAsia="Candara" w:cs="Candara"/>
          <w:b/>
          <w:spacing w:val="-1"/>
          <w:w w:val="101"/>
        </w:rPr>
        <w:t>m</w:t>
      </w:r>
      <w:r w:rsidRPr="007223FB">
        <w:rPr>
          <w:rFonts w:eastAsia="Candara" w:cs="Candara"/>
          <w:b/>
        </w:rPr>
        <w:t>e</w:t>
      </w:r>
      <w:r w:rsidRPr="007223FB">
        <w:rPr>
          <w:rFonts w:eastAsia="Candara" w:cs="Candara"/>
          <w:b/>
          <w:w w:val="95"/>
        </w:rPr>
        <w:t>z</w:t>
      </w:r>
    </w:p>
    <w:p w:rsidR="00377472" w:rsidRPr="007223FB" w:rsidRDefault="00377472" w:rsidP="00377472">
      <w:pPr>
        <w:spacing w:after="0" w:line="240" w:lineRule="auto"/>
        <w:ind w:right="-11"/>
        <w:jc w:val="center"/>
        <w:rPr>
          <w:rFonts w:eastAsia="Candara" w:cs="Candara"/>
        </w:rPr>
      </w:pPr>
      <w:r w:rsidRPr="007223FB">
        <w:rPr>
          <w:rFonts w:eastAsia="Candara" w:cs="Candara"/>
        </w:rPr>
        <w:t>Sub</w:t>
      </w:r>
      <w:r w:rsidRPr="007223FB">
        <w:rPr>
          <w:rFonts w:eastAsia="Candara" w:cs="Candara"/>
          <w:spacing w:val="1"/>
        </w:rPr>
        <w:t>s</w:t>
      </w:r>
      <w:r w:rsidRPr="007223FB">
        <w:rPr>
          <w:rFonts w:eastAsia="Candara" w:cs="Candara"/>
        </w:rPr>
        <w:t>e</w:t>
      </w:r>
      <w:r w:rsidRPr="007223FB">
        <w:rPr>
          <w:rFonts w:eastAsia="Candara" w:cs="Candara"/>
          <w:spacing w:val="-1"/>
        </w:rPr>
        <w:t>c</w:t>
      </w:r>
      <w:r w:rsidRPr="007223FB">
        <w:rPr>
          <w:rFonts w:eastAsia="Candara" w:cs="Candara"/>
          <w:spacing w:val="1"/>
        </w:rPr>
        <w:t>r</w:t>
      </w:r>
      <w:r w:rsidRPr="007223FB">
        <w:rPr>
          <w:rFonts w:eastAsia="Candara" w:cs="Candara"/>
        </w:rPr>
        <w:t>eta</w:t>
      </w:r>
      <w:r w:rsidRPr="007223FB">
        <w:rPr>
          <w:rFonts w:eastAsia="Candara" w:cs="Candara"/>
          <w:spacing w:val="1"/>
        </w:rPr>
        <w:t>r</w:t>
      </w:r>
      <w:r w:rsidRPr="007223FB">
        <w:rPr>
          <w:rFonts w:eastAsia="Candara" w:cs="Candara"/>
        </w:rPr>
        <w:t>io</w:t>
      </w:r>
      <w:r w:rsidRPr="007223FB">
        <w:rPr>
          <w:rFonts w:eastAsia="Candara" w:cs="Candara"/>
          <w:spacing w:val="-3"/>
        </w:rPr>
        <w:t xml:space="preserve"> </w:t>
      </w:r>
      <w:r w:rsidRPr="007223FB">
        <w:rPr>
          <w:rFonts w:eastAsia="Candara" w:cs="Candara"/>
          <w:spacing w:val="1"/>
        </w:rPr>
        <w:t>d</w:t>
      </w:r>
      <w:r w:rsidRPr="007223FB">
        <w:rPr>
          <w:rFonts w:eastAsia="Candara" w:cs="Candara"/>
        </w:rPr>
        <w:t xml:space="preserve">e </w:t>
      </w:r>
      <w:r w:rsidRPr="007223FB">
        <w:rPr>
          <w:rFonts w:eastAsia="Candara" w:cs="Candara"/>
          <w:spacing w:val="-1"/>
        </w:rPr>
        <w:t>I</w:t>
      </w:r>
      <w:r w:rsidRPr="007223FB">
        <w:rPr>
          <w:rFonts w:eastAsia="Candara" w:cs="Candara"/>
          <w:spacing w:val="1"/>
        </w:rPr>
        <w:t>n</w:t>
      </w:r>
      <w:r w:rsidRPr="007223FB">
        <w:rPr>
          <w:rFonts w:eastAsia="Candara" w:cs="Candara"/>
        </w:rPr>
        <w:t>ve</w:t>
      </w:r>
      <w:r w:rsidRPr="007223FB">
        <w:rPr>
          <w:rFonts w:eastAsia="Candara" w:cs="Candara"/>
          <w:spacing w:val="-1"/>
        </w:rPr>
        <w:t>r</w:t>
      </w:r>
      <w:r w:rsidRPr="007223FB">
        <w:rPr>
          <w:rFonts w:eastAsia="Candara" w:cs="Candara"/>
          <w:spacing w:val="1"/>
        </w:rPr>
        <w:t>s</w:t>
      </w:r>
      <w:r w:rsidRPr="007223FB">
        <w:rPr>
          <w:rFonts w:eastAsia="Candara" w:cs="Candara"/>
        </w:rPr>
        <w:t>i</w:t>
      </w:r>
      <w:r w:rsidRPr="007223FB">
        <w:rPr>
          <w:rFonts w:eastAsia="Candara" w:cs="Candara"/>
          <w:spacing w:val="-3"/>
        </w:rPr>
        <w:t>ó</w:t>
      </w:r>
      <w:r w:rsidRPr="007223FB">
        <w:rPr>
          <w:rFonts w:eastAsia="Candara" w:cs="Candara"/>
        </w:rPr>
        <w:t>n</w:t>
      </w:r>
      <w:r w:rsidR="00E317B1" w:rsidRPr="007223FB">
        <w:rPr>
          <w:rFonts w:eastAsia="Candara" w:cs="Candara"/>
          <w:spacing w:val="1"/>
        </w:rPr>
        <w:t xml:space="preserve"> </w:t>
      </w:r>
      <w:r w:rsidR="003A4379" w:rsidRPr="007223FB">
        <w:rPr>
          <w:rFonts w:eastAsia="Candara" w:cs="Candara"/>
        </w:rPr>
        <w:t>para el Desarrollo</w:t>
      </w:r>
    </w:p>
    <w:p w:rsidR="00377472" w:rsidRPr="007223FB" w:rsidRDefault="00377472" w:rsidP="00377472">
      <w:pPr>
        <w:spacing w:before="9" w:after="0" w:line="260" w:lineRule="exact"/>
        <w:ind w:right="-11"/>
        <w:jc w:val="center"/>
      </w:pPr>
    </w:p>
    <w:p w:rsidR="00377472" w:rsidRPr="007223FB" w:rsidRDefault="00377472" w:rsidP="00377472">
      <w:pPr>
        <w:spacing w:after="0" w:line="240" w:lineRule="auto"/>
        <w:ind w:right="-11"/>
        <w:jc w:val="center"/>
        <w:rPr>
          <w:rFonts w:eastAsia="Candara" w:cs="Candara"/>
          <w:b/>
        </w:rPr>
      </w:pPr>
      <w:r w:rsidRPr="007223FB">
        <w:rPr>
          <w:rFonts w:eastAsia="Candara" w:cs="Candara"/>
          <w:b/>
          <w:spacing w:val="1"/>
        </w:rPr>
        <w:t>Roxana Michelle Prieto</w:t>
      </w:r>
    </w:p>
    <w:p w:rsidR="00377472" w:rsidRPr="007223FB" w:rsidRDefault="00377472" w:rsidP="00377472">
      <w:pPr>
        <w:spacing w:after="0" w:line="240" w:lineRule="auto"/>
        <w:ind w:right="-11"/>
        <w:jc w:val="center"/>
        <w:rPr>
          <w:rFonts w:eastAsia="Candara" w:cs="Candara"/>
        </w:rPr>
      </w:pPr>
      <w:r w:rsidRPr="007223FB">
        <w:rPr>
          <w:rFonts w:eastAsia="Candara" w:cs="Candara"/>
        </w:rPr>
        <w:t>Sub</w:t>
      </w:r>
      <w:r w:rsidRPr="007223FB">
        <w:rPr>
          <w:rFonts w:eastAsia="Candara" w:cs="Candara"/>
          <w:spacing w:val="1"/>
        </w:rPr>
        <w:t>s</w:t>
      </w:r>
      <w:r w:rsidRPr="007223FB">
        <w:rPr>
          <w:rFonts w:eastAsia="Candara" w:cs="Candara"/>
        </w:rPr>
        <w:t>e</w:t>
      </w:r>
      <w:r w:rsidRPr="007223FB">
        <w:rPr>
          <w:rFonts w:eastAsia="Candara" w:cs="Candara"/>
          <w:spacing w:val="-1"/>
        </w:rPr>
        <w:t>c</w:t>
      </w:r>
      <w:r w:rsidRPr="007223FB">
        <w:rPr>
          <w:rFonts w:eastAsia="Candara" w:cs="Candara"/>
          <w:spacing w:val="1"/>
        </w:rPr>
        <w:t>r</w:t>
      </w:r>
      <w:r w:rsidRPr="007223FB">
        <w:rPr>
          <w:rFonts w:eastAsia="Candara" w:cs="Candara"/>
        </w:rPr>
        <w:t>eta</w:t>
      </w:r>
      <w:r w:rsidRPr="007223FB">
        <w:rPr>
          <w:rFonts w:eastAsia="Candara" w:cs="Candara"/>
          <w:spacing w:val="1"/>
        </w:rPr>
        <w:t>r</w:t>
      </w:r>
      <w:r w:rsidRPr="007223FB">
        <w:rPr>
          <w:rFonts w:eastAsia="Candara" w:cs="Candara"/>
        </w:rPr>
        <w:t>ia</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spacing w:val="1"/>
        </w:rPr>
        <w:t>C</w:t>
      </w:r>
      <w:r w:rsidRPr="007223FB">
        <w:rPr>
          <w:rFonts w:eastAsia="Candara" w:cs="Candara"/>
          <w:spacing w:val="-1"/>
        </w:rPr>
        <w:t>oo</w:t>
      </w:r>
      <w:r w:rsidRPr="007223FB">
        <w:rPr>
          <w:rFonts w:eastAsia="Candara" w:cs="Candara"/>
        </w:rPr>
        <w:t>pe</w:t>
      </w:r>
      <w:r w:rsidRPr="007223FB">
        <w:rPr>
          <w:rFonts w:eastAsia="Candara" w:cs="Candara"/>
          <w:spacing w:val="1"/>
        </w:rPr>
        <w:t>r</w:t>
      </w:r>
      <w:r w:rsidRPr="007223FB">
        <w:rPr>
          <w:rFonts w:eastAsia="Candara" w:cs="Candara"/>
          <w:spacing w:val="-2"/>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003A4379" w:rsidRPr="007223FB">
        <w:rPr>
          <w:rFonts w:eastAsia="Candara" w:cs="Candara"/>
          <w:spacing w:val="1"/>
        </w:rPr>
        <w:t>y Alianzas</w:t>
      </w:r>
      <w:r w:rsidR="003A4379" w:rsidRPr="007223FB">
        <w:rPr>
          <w:rFonts w:eastAsia="Candara" w:cs="Candara"/>
        </w:rPr>
        <w:t xml:space="preserve"> para el Desarrollo</w:t>
      </w:r>
    </w:p>
    <w:p w:rsidR="00377472" w:rsidRPr="007223FB" w:rsidRDefault="00377472" w:rsidP="00377472">
      <w:pPr>
        <w:spacing w:before="9" w:after="0" w:line="260" w:lineRule="exact"/>
        <w:ind w:right="-11"/>
        <w:jc w:val="center"/>
      </w:pPr>
    </w:p>
    <w:p w:rsidR="00377472" w:rsidRPr="007223FB" w:rsidRDefault="0078675B" w:rsidP="00377472">
      <w:pPr>
        <w:spacing w:after="0" w:line="240" w:lineRule="auto"/>
        <w:ind w:right="-11"/>
        <w:jc w:val="center"/>
        <w:rPr>
          <w:rFonts w:eastAsia="Candara" w:cs="Candara"/>
          <w:b/>
        </w:rPr>
      </w:pPr>
      <w:r w:rsidRPr="007223FB">
        <w:rPr>
          <w:rFonts w:eastAsia="Candara" w:cs="Candara"/>
          <w:b/>
        </w:rPr>
        <w:t xml:space="preserve">Álvaro Hugo Martínez </w:t>
      </w:r>
      <w:r w:rsidR="00767356" w:rsidRPr="007223FB">
        <w:rPr>
          <w:rFonts w:eastAsia="Candara" w:cs="Candara"/>
          <w:b/>
        </w:rPr>
        <w:t>Sandoval</w:t>
      </w:r>
    </w:p>
    <w:p w:rsidR="00377472" w:rsidRPr="007223FB" w:rsidRDefault="003B3F66" w:rsidP="00377472">
      <w:pPr>
        <w:spacing w:after="0" w:line="240" w:lineRule="auto"/>
        <w:ind w:right="-11"/>
        <w:jc w:val="center"/>
        <w:rPr>
          <w:rFonts w:eastAsia="Candara" w:cs="Candara"/>
          <w:spacing w:val="-2"/>
        </w:rPr>
      </w:pPr>
      <w:r w:rsidRPr="007223FB">
        <w:rPr>
          <w:rFonts w:eastAsia="Candara" w:cs="Candara"/>
        </w:rPr>
        <w:t>D</w:t>
      </w:r>
      <w:r w:rsidR="00377472" w:rsidRPr="007223FB">
        <w:rPr>
          <w:rFonts w:eastAsia="Candara" w:cs="Candara"/>
        </w:rPr>
        <w:t>i</w:t>
      </w:r>
      <w:r w:rsidR="00377472" w:rsidRPr="007223FB">
        <w:rPr>
          <w:rFonts w:eastAsia="Candara" w:cs="Candara"/>
          <w:spacing w:val="1"/>
        </w:rPr>
        <w:t>r</w:t>
      </w:r>
      <w:r w:rsidR="00377472" w:rsidRPr="007223FB">
        <w:rPr>
          <w:rFonts w:eastAsia="Candara" w:cs="Candara"/>
        </w:rPr>
        <w:t>e</w:t>
      </w:r>
      <w:r w:rsidR="00377472" w:rsidRPr="007223FB">
        <w:rPr>
          <w:rFonts w:eastAsia="Candara" w:cs="Candara"/>
          <w:spacing w:val="1"/>
        </w:rPr>
        <w:t>c</w:t>
      </w:r>
      <w:r w:rsidR="00377472" w:rsidRPr="007223FB">
        <w:rPr>
          <w:rFonts w:eastAsia="Candara" w:cs="Candara"/>
        </w:rPr>
        <w:t>t</w:t>
      </w:r>
      <w:r w:rsidR="00377472" w:rsidRPr="007223FB">
        <w:rPr>
          <w:rFonts w:eastAsia="Candara" w:cs="Candara"/>
          <w:spacing w:val="-3"/>
        </w:rPr>
        <w:t>o</w:t>
      </w:r>
      <w:r w:rsidR="00377472" w:rsidRPr="007223FB">
        <w:rPr>
          <w:rFonts w:eastAsia="Candara" w:cs="Candara"/>
          <w:spacing w:val="1"/>
        </w:rPr>
        <w:t>r</w:t>
      </w:r>
      <w:r w:rsidR="00377472" w:rsidRPr="007223FB">
        <w:rPr>
          <w:rFonts w:eastAsia="Candara" w:cs="Candara"/>
        </w:rPr>
        <w:t xml:space="preserve"> </w:t>
      </w:r>
      <w:r w:rsidR="00377472" w:rsidRPr="007223FB">
        <w:rPr>
          <w:rFonts w:eastAsia="Candara" w:cs="Candara"/>
          <w:spacing w:val="1"/>
        </w:rPr>
        <w:t>d</w:t>
      </w:r>
      <w:r w:rsidR="00377472" w:rsidRPr="007223FB">
        <w:rPr>
          <w:rFonts w:eastAsia="Candara" w:cs="Candara"/>
        </w:rPr>
        <w:t>e</w:t>
      </w:r>
      <w:r w:rsidR="00377472" w:rsidRPr="007223FB">
        <w:rPr>
          <w:rFonts w:eastAsia="Candara" w:cs="Candara"/>
          <w:spacing w:val="-2"/>
        </w:rPr>
        <w:t xml:space="preserve"> </w:t>
      </w:r>
      <w:r w:rsidR="00767356" w:rsidRPr="007223FB">
        <w:rPr>
          <w:rFonts w:eastAsia="Candara" w:cs="Candara"/>
          <w:spacing w:val="-2"/>
        </w:rPr>
        <w:t>Análisis y Seguimiento de Políticas Públicas y Planes</w:t>
      </w:r>
    </w:p>
    <w:p w:rsidR="001F79E2" w:rsidRPr="007223FB" w:rsidRDefault="001F79E2" w:rsidP="00377472">
      <w:pPr>
        <w:spacing w:after="0" w:line="240" w:lineRule="auto"/>
        <w:ind w:right="-11"/>
        <w:jc w:val="center"/>
        <w:rPr>
          <w:rFonts w:eastAsia="Candara" w:cs="Candara"/>
          <w:spacing w:val="-2"/>
        </w:rPr>
      </w:pPr>
    </w:p>
    <w:p w:rsidR="001F79E2" w:rsidRPr="007223FB" w:rsidRDefault="001F79E2" w:rsidP="001F79E2">
      <w:pPr>
        <w:spacing w:after="0" w:line="240" w:lineRule="auto"/>
        <w:ind w:right="-11"/>
        <w:jc w:val="center"/>
        <w:rPr>
          <w:rFonts w:eastAsia="Candara" w:cs="Candara"/>
          <w:b/>
        </w:rPr>
      </w:pPr>
      <w:r w:rsidRPr="007223FB">
        <w:rPr>
          <w:rFonts w:eastAsia="Candara" w:cs="Candara"/>
          <w:b/>
        </w:rPr>
        <w:t>Maria Hortensia del Cid López de Aguilar</w:t>
      </w:r>
    </w:p>
    <w:p w:rsidR="001F79E2" w:rsidRPr="007223FB" w:rsidRDefault="001F79E2" w:rsidP="001F79E2">
      <w:pPr>
        <w:spacing w:after="0" w:line="240" w:lineRule="auto"/>
        <w:ind w:right="-11"/>
        <w:jc w:val="center"/>
        <w:rPr>
          <w:rFonts w:eastAsia="Candara" w:cs="Candara"/>
          <w:spacing w:val="-2"/>
        </w:rPr>
      </w:pPr>
      <w:r w:rsidRPr="007223FB">
        <w:rPr>
          <w:rFonts w:eastAsia="Candara" w:cs="Candara"/>
        </w:rPr>
        <w:t>Subdi</w:t>
      </w:r>
      <w:r w:rsidRPr="007223FB">
        <w:rPr>
          <w:rFonts w:eastAsia="Candara" w:cs="Candara"/>
          <w:spacing w:val="1"/>
        </w:rPr>
        <w:t>r</w:t>
      </w:r>
      <w:r w:rsidRPr="007223FB">
        <w:rPr>
          <w:rFonts w:eastAsia="Candara" w:cs="Candara"/>
        </w:rPr>
        <w:t>e</w:t>
      </w:r>
      <w:r w:rsidRPr="007223FB">
        <w:rPr>
          <w:rFonts w:eastAsia="Candara" w:cs="Candara"/>
          <w:spacing w:val="1"/>
        </w:rPr>
        <w:t>c</w:t>
      </w:r>
      <w:r w:rsidRPr="007223FB">
        <w:rPr>
          <w:rFonts w:eastAsia="Candara" w:cs="Candara"/>
        </w:rPr>
        <w:t>t</w:t>
      </w:r>
      <w:r w:rsidRPr="007223FB">
        <w:rPr>
          <w:rFonts w:eastAsia="Candara" w:cs="Candara"/>
          <w:spacing w:val="-3"/>
        </w:rPr>
        <w:t>o</w:t>
      </w:r>
      <w:r w:rsidRPr="007223FB">
        <w:rPr>
          <w:rFonts w:eastAsia="Candara" w:cs="Candara"/>
          <w:spacing w:val="1"/>
        </w:rPr>
        <w:t>ra</w:t>
      </w:r>
      <w:r w:rsidRPr="007223FB">
        <w:rPr>
          <w:rFonts w:eastAsia="Candara" w:cs="Candara"/>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Análisis y Seguimiento de Políticas Públicas y Planes</w:t>
      </w:r>
    </w:p>
    <w:p w:rsidR="001F79E2" w:rsidRPr="007223FB" w:rsidRDefault="001F79E2" w:rsidP="001F79E2">
      <w:pPr>
        <w:spacing w:after="0" w:line="240" w:lineRule="auto"/>
        <w:ind w:right="-11"/>
        <w:jc w:val="center"/>
        <w:rPr>
          <w:rFonts w:eastAsia="Candara" w:cs="Candara"/>
          <w:spacing w:val="-2"/>
        </w:rPr>
      </w:pPr>
    </w:p>
    <w:p w:rsidR="00377472" w:rsidRPr="007223FB" w:rsidRDefault="00377472" w:rsidP="00377472">
      <w:pPr>
        <w:spacing w:before="7" w:after="0" w:line="260" w:lineRule="exact"/>
        <w:ind w:right="-11"/>
        <w:jc w:val="center"/>
      </w:pPr>
    </w:p>
    <w:p w:rsidR="00377472" w:rsidRPr="007223FB" w:rsidRDefault="00377472" w:rsidP="00377472">
      <w:pPr>
        <w:spacing w:after="0" w:line="240" w:lineRule="auto"/>
        <w:ind w:right="-11"/>
        <w:jc w:val="center"/>
        <w:rPr>
          <w:rFonts w:eastAsia="Candara" w:cs="Candara"/>
        </w:rPr>
      </w:pPr>
      <w:r w:rsidRPr="007223FB">
        <w:rPr>
          <w:rFonts w:eastAsia="Candara" w:cs="Candara"/>
          <w:b/>
          <w:spacing w:val="1"/>
        </w:rPr>
        <w:t>E</w:t>
      </w:r>
      <w:r w:rsidRPr="007223FB">
        <w:rPr>
          <w:rFonts w:eastAsia="Candara" w:cs="Candara"/>
          <w:b/>
        </w:rPr>
        <w:t>q</w:t>
      </w:r>
      <w:r w:rsidRPr="007223FB">
        <w:rPr>
          <w:rFonts w:eastAsia="Candara" w:cs="Candara"/>
          <w:b/>
          <w:spacing w:val="1"/>
        </w:rPr>
        <w:t>u</w:t>
      </w:r>
      <w:r w:rsidRPr="007223FB">
        <w:rPr>
          <w:rFonts w:eastAsia="Candara" w:cs="Candara"/>
          <w:b/>
        </w:rPr>
        <w:t>i</w:t>
      </w:r>
      <w:r w:rsidRPr="007223FB">
        <w:rPr>
          <w:rFonts w:eastAsia="Candara" w:cs="Candara"/>
          <w:b/>
          <w:spacing w:val="-1"/>
        </w:rPr>
        <w:t>p</w:t>
      </w:r>
      <w:r w:rsidRPr="007223FB">
        <w:rPr>
          <w:rFonts w:eastAsia="Candara" w:cs="Candara"/>
          <w:b/>
        </w:rPr>
        <w:t>o</w:t>
      </w:r>
      <w:r w:rsidRPr="007223FB">
        <w:rPr>
          <w:rFonts w:eastAsia="Candara" w:cs="Candara"/>
          <w:b/>
          <w:spacing w:val="5"/>
        </w:rPr>
        <w:t xml:space="preserve"> </w:t>
      </w:r>
      <w:r w:rsidRPr="007223FB">
        <w:rPr>
          <w:rFonts w:eastAsia="Candara" w:cs="Candara"/>
          <w:b/>
          <w:spacing w:val="1"/>
        </w:rPr>
        <w:t>d</w:t>
      </w:r>
      <w:r w:rsidRPr="007223FB">
        <w:rPr>
          <w:rFonts w:eastAsia="Candara" w:cs="Candara"/>
          <w:b/>
        </w:rPr>
        <w:t xml:space="preserve">e </w:t>
      </w:r>
      <w:r w:rsidRPr="007223FB">
        <w:rPr>
          <w:rFonts w:eastAsia="Candara" w:cs="Candara"/>
          <w:b/>
          <w:w w:val="102"/>
        </w:rPr>
        <w:t>A</w:t>
      </w:r>
      <w:r w:rsidRPr="007223FB">
        <w:rPr>
          <w:rFonts w:eastAsia="Candara" w:cs="Candara"/>
          <w:b/>
          <w:spacing w:val="-1"/>
        </w:rPr>
        <w:t>po</w:t>
      </w:r>
      <w:r w:rsidRPr="007223FB">
        <w:rPr>
          <w:rFonts w:eastAsia="Candara" w:cs="Candara"/>
          <w:b/>
          <w:w w:val="105"/>
        </w:rPr>
        <w:t>y</w:t>
      </w:r>
      <w:r w:rsidRPr="007223FB">
        <w:rPr>
          <w:rFonts w:eastAsia="Candara" w:cs="Candara"/>
          <w:b/>
          <w:spacing w:val="-1"/>
        </w:rPr>
        <w:t>o</w:t>
      </w:r>
      <w:r w:rsidRPr="007223FB">
        <w:rPr>
          <w:rFonts w:eastAsia="Candara" w:cs="Candara"/>
        </w:rPr>
        <w:t>:</w:t>
      </w:r>
    </w:p>
    <w:p w:rsidR="0065759B" w:rsidRPr="007223FB" w:rsidRDefault="0065759B" w:rsidP="0065759B">
      <w:pPr>
        <w:spacing w:after="0" w:line="240" w:lineRule="auto"/>
        <w:ind w:right="-11"/>
        <w:jc w:val="center"/>
        <w:rPr>
          <w:rFonts w:eastAsia="Candara" w:cs="Candara"/>
        </w:rPr>
      </w:pPr>
      <w:r w:rsidRPr="007223FB">
        <w:rPr>
          <w:rFonts w:eastAsia="Candara" w:cs="Candara"/>
          <w:spacing w:val="1"/>
        </w:rPr>
        <w:t>A</w:t>
      </w:r>
      <w:r w:rsidRPr="007223FB">
        <w:rPr>
          <w:rFonts w:eastAsia="Candara" w:cs="Candara"/>
        </w:rPr>
        <w:t>li</w:t>
      </w:r>
      <w:r w:rsidRPr="007223FB">
        <w:rPr>
          <w:rFonts w:eastAsia="Candara" w:cs="Candara"/>
          <w:spacing w:val="1"/>
        </w:rPr>
        <w:t>c</w:t>
      </w:r>
      <w:r w:rsidRPr="007223FB">
        <w:rPr>
          <w:rFonts w:eastAsia="Candara" w:cs="Candara"/>
        </w:rPr>
        <w:t>ia Miosoti</w:t>
      </w:r>
      <w:r w:rsidRPr="007223FB">
        <w:rPr>
          <w:rFonts w:eastAsia="Candara" w:cs="Candara"/>
          <w:spacing w:val="-2"/>
        </w:rPr>
        <w:t xml:space="preserve"> </w:t>
      </w:r>
      <w:r w:rsidRPr="007223FB">
        <w:rPr>
          <w:rFonts w:eastAsia="Candara" w:cs="Candara"/>
          <w:spacing w:val="1"/>
        </w:rPr>
        <w:t>C</w:t>
      </w:r>
      <w:r w:rsidRPr="007223FB">
        <w:rPr>
          <w:rFonts w:eastAsia="Candara" w:cs="Candara"/>
        </w:rPr>
        <w:t>ifue</w:t>
      </w:r>
      <w:r w:rsidRPr="007223FB">
        <w:rPr>
          <w:rFonts w:eastAsia="Candara" w:cs="Candara"/>
          <w:spacing w:val="1"/>
        </w:rPr>
        <w:t>n</w:t>
      </w:r>
      <w:r w:rsidRPr="007223FB">
        <w:rPr>
          <w:rFonts w:eastAsia="Candara" w:cs="Candara"/>
        </w:rPr>
        <w:t>t</w:t>
      </w:r>
      <w:r w:rsidRPr="007223FB">
        <w:rPr>
          <w:rFonts w:eastAsia="Candara" w:cs="Candara"/>
          <w:spacing w:val="-3"/>
        </w:rPr>
        <w:t>e</w:t>
      </w:r>
      <w:r w:rsidRPr="007223FB">
        <w:rPr>
          <w:rFonts w:eastAsia="Candara" w:cs="Candara"/>
        </w:rPr>
        <w:t>s</w:t>
      </w:r>
      <w:r w:rsidRPr="007223FB">
        <w:rPr>
          <w:rFonts w:eastAsia="Candara" w:cs="Candara"/>
          <w:spacing w:val="2"/>
        </w:rPr>
        <w:t xml:space="preserve"> </w:t>
      </w:r>
      <w:r w:rsidRPr="007223FB">
        <w:rPr>
          <w:rFonts w:eastAsia="Candara" w:cs="Candara"/>
        </w:rPr>
        <w:t>S</w:t>
      </w:r>
      <w:r w:rsidRPr="007223FB">
        <w:rPr>
          <w:rFonts w:eastAsia="Candara" w:cs="Candara"/>
          <w:spacing w:val="-1"/>
        </w:rPr>
        <w:t>o</w:t>
      </w:r>
      <w:r w:rsidRPr="007223FB">
        <w:rPr>
          <w:rFonts w:eastAsia="Candara" w:cs="Candara"/>
        </w:rPr>
        <w:t>to</w:t>
      </w:r>
    </w:p>
    <w:p w:rsidR="00377472" w:rsidRPr="007223FB" w:rsidRDefault="00377472" w:rsidP="00377472">
      <w:pPr>
        <w:spacing w:after="0" w:line="240" w:lineRule="auto"/>
        <w:ind w:right="-11"/>
        <w:jc w:val="center"/>
        <w:rPr>
          <w:rFonts w:eastAsia="Candara" w:cs="Candara"/>
        </w:rPr>
      </w:pPr>
      <w:r w:rsidRPr="007223FB">
        <w:rPr>
          <w:rFonts w:eastAsia="Candara" w:cs="Candara"/>
          <w:spacing w:val="1"/>
        </w:rPr>
        <w:t>A</w:t>
      </w:r>
      <w:r w:rsidRPr="007223FB">
        <w:rPr>
          <w:rFonts w:eastAsia="Candara" w:cs="Candara"/>
        </w:rPr>
        <w:t>llan</w:t>
      </w:r>
      <w:r w:rsidRPr="007223FB">
        <w:rPr>
          <w:rFonts w:eastAsia="Candara" w:cs="Candara"/>
          <w:spacing w:val="1"/>
        </w:rPr>
        <w:t xml:space="preserve"> </w:t>
      </w:r>
      <w:r w:rsidRPr="007223FB">
        <w:rPr>
          <w:rFonts w:eastAsia="Candara" w:cs="Candara"/>
          <w:spacing w:val="-2"/>
        </w:rPr>
        <w:t>E</w:t>
      </w:r>
      <w:r w:rsidRPr="007223FB">
        <w:rPr>
          <w:rFonts w:eastAsia="Candara" w:cs="Candara"/>
          <w:spacing w:val="1"/>
        </w:rPr>
        <w:t>s</w:t>
      </w:r>
      <w:r w:rsidRPr="007223FB">
        <w:rPr>
          <w:rFonts w:eastAsia="Candara" w:cs="Candara"/>
        </w:rPr>
        <w:t>a</w:t>
      </w:r>
      <w:r w:rsidRPr="007223FB">
        <w:rPr>
          <w:rFonts w:eastAsia="Candara" w:cs="Candara"/>
          <w:spacing w:val="1"/>
        </w:rPr>
        <w:t>h</w:t>
      </w:r>
      <w:r w:rsidRPr="007223FB">
        <w:rPr>
          <w:rFonts w:eastAsia="Candara" w:cs="Candara"/>
        </w:rPr>
        <w:t>u</w:t>
      </w:r>
      <w:r w:rsidRPr="007223FB">
        <w:rPr>
          <w:rFonts w:eastAsia="Candara" w:cs="Candara"/>
          <w:spacing w:val="-2"/>
        </w:rPr>
        <w:t xml:space="preserve"> </w:t>
      </w:r>
      <w:r w:rsidRPr="007223FB">
        <w:rPr>
          <w:rFonts w:eastAsia="Candara" w:cs="Candara"/>
          <w:spacing w:val="2"/>
        </w:rPr>
        <w:t>M</w:t>
      </w:r>
      <w:r w:rsidRPr="007223FB">
        <w:rPr>
          <w:rFonts w:eastAsia="Candara" w:cs="Candara"/>
          <w:spacing w:val="-3"/>
        </w:rPr>
        <w:t>e</w:t>
      </w:r>
      <w:r w:rsidRPr="007223FB">
        <w:rPr>
          <w:rFonts w:eastAsia="Candara" w:cs="Candara"/>
          <w:spacing w:val="1"/>
        </w:rPr>
        <w:t>dr</w:t>
      </w:r>
      <w:r w:rsidRPr="007223FB">
        <w:rPr>
          <w:rFonts w:eastAsia="Candara" w:cs="Candara"/>
        </w:rPr>
        <w:t>a</w:t>
      </w:r>
      <w:r w:rsidRPr="007223FB">
        <w:rPr>
          <w:rFonts w:eastAsia="Candara" w:cs="Candara"/>
          <w:spacing w:val="1"/>
        </w:rPr>
        <w:t>n</w:t>
      </w:r>
      <w:r w:rsidRPr="007223FB">
        <w:rPr>
          <w:rFonts w:eastAsia="Candara" w:cs="Candara"/>
        </w:rPr>
        <w:t>o La</w:t>
      </w:r>
      <w:r w:rsidRPr="007223FB">
        <w:rPr>
          <w:rFonts w:eastAsia="Candara" w:cs="Candara"/>
          <w:spacing w:val="-2"/>
        </w:rPr>
        <w:t>in</w:t>
      </w:r>
      <w:r w:rsidRPr="007223FB">
        <w:rPr>
          <w:rFonts w:eastAsia="Candara" w:cs="Candara"/>
        </w:rPr>
        <w:t>ez</w:t>
      </w:r>
    </w:p>
    <w:p w:rsidR="002C13F4" w:rsidRDefault="002C13F4" w:rsidP="00377472">
      <w:pPr>
        <w:spacing w:after="0" w:line="240" w:lineRule="auto"/>
        <w:ind w:right="-11"/>
        <w:jc w:val="center"/>
        <w:rPr>
          <w:rFonts w:eastAsia="Candara" w:cs="Candara"/>
          <w:spacing w:val="1"/>
        </w:rPr>
      </w:pPr>
      <w:r w:rsidRPr="007223FB">
        <w:rPr>
          <w:rFonts w:eastAsia="Candara" w:cs="Candara"/>
          <w:spacing w:val="1"/>
        </w:rPr>
        <w:t>Catarina Pérez Domingo</w:t>
      </w:r>
    </w:p>
    <w:p w:rsidR="007120B7" w:rsidRPr="007223FB" w:rsidRDefault="007120B7" w:rsidP="007120B7">
      <w:pPr>
        <w:spacing w:after="0" w:line="240" w:lineRule="auto"/>
        <w:ind w:right="-11"/>
        <w:jc w:val="center"/>
        <w:rPr>
          <w:rFonts w:eastAsia="Candara" w:cs="Candara"/>
        </w:rPr>
      </w:pPr>
      <w:r w:rsidRPr="007223FB">
        <w:rPr>
          <w:rFonts w:eastAsia="Candara" w:cs="Candara"/>
        </w:rPr>
        <w:t>Diana Ni</w:t>
      </w:r>
      <w:r w:rsidRPr="007223FB">
        <w:rPr>
          <w:rFonts w:eastAsia="Candara" w:cs="Candara"/>
          <w:spacing w:val="-1"/>
        </w:rPr>
        <w:t>c</w:t>
      </w:r>
      <w:r w:rsidRPr="007223FB">
        <w:rPr>
          <w:rFonts w:eastAsia="Candara" w:cs="Candara"/>
        </w:rPr>
        <w:t>té Sa</w:t>
      </w:r>
      <w:r w:rsidRPr="007223FB">
        <w:rPr>
          <w:rFonts w:eastAsia="Candara" w:cs="Candara"/>
          <w:spacing w:val="1"/>
        </w:rPr>
        <w:t>g</w:t>
      </w:r>
      <w:r w:rsidRPr="007223FB">
        <w:rPr>
          <w:rFonts w:eastAsia="Candara" w:cs="Candara"/>
          <w:spacing w:val="-2"/>
        </w:rPr>
        <w:t>a</w:t>
      </w:r>
      <w:r w:rsidRPr="007223FB">
        <w:rPr>
          <w:rFonts w:eastAsia="Candara" w:cs="Candara"/>
          <w:spacing w:val="1"/>
        </w:rPr>
        <w:t>s</w:t>
      </w:r>
      <w:r w:rsidRPr="007223FB">
        <w:rPr>
          <w:rFonts w:eastAsia="Candara" w:cs="Candara"/>
        </w:rPr>
        <w:t xml:space="preserve">tume </w:t>
      </w:r>
      <w:r w:rsidRPr="007223FB">
        <w:rPr>
          <w:rFonts w:eastAsia="Candara" w:cs="Candara"/>
          <w:spacing w:val="1"/>
        </w:rPr>
        <w:t>P</w:t>
      </w:r>
      <w:r w:rsidRPr="007223FB">
        <w:rPr>
          <w:rFonts w:eastAsia="Candara" w:cs="Candara"/>
          <w:spacing w:val="-2"/>
        </w:rPr>
        <w:t>a</w:t>
      </w:r>
      <w:r w:rsidRPr="007223FB">
        <w:rPr>
          <w:rFonts w:eastAsia="Candara" w:cs="Candara"/>
        </w:rPr>
        <w:t>iz</w:t>
      </w:r>
    </w:p>
    <w:p w:rsidR="00377472" w:rsidRDefault="00377472" w:rsidP="00377472">
      <w:pPr>
        <w:spacing w:after="0" w:line="240" w:lineRule="auto"/>
        <w:ind w:right="-11"/>
        <w:jc w:val="center"/>
        <w:rPr>
          <w:rFonts w:eastAsia="Candara" w:cs="Candara"/>
        </w:rPr>
      </w:pPr>
      <w:r w:rsidRPr="007223FB">
        <w:rPr>
          <w:rFonts w:eastAsia="Candara" w:cs="Candara"/>
        </w:rPr>
        <w:t>Edna Rocío Martínez Cabrera</w:t>
      </w:r>
    </w:p>
    <w:p w:rsidR="0079474A" w:rsidRPr="007223FB" w:rsidRDefault="0079474A" w:rsidP="00377472">
      <w:pPr>
        <w:spacing w:after="0" w:line="240" w:lineRule="auto"/>
        <w:ind w:right="-11"/>
        <w:jc w:val="center"/>
        <w:rPr>
          <w:rFonts w:eastAsia="Candara" w:cs="Candara"/>
        </w:rPr>
      </w:pPr>
      <w:r>
        <w:rPr>
          <w:rFonts w:eastAsia="Candara" w:cs="Candara"/>
        </w:rPr>
        <w:t>Eduardo Florencio Alvarado Acu</w:t>
      </w:r>
    </w:p>
    <w:p w:rsidR="00377472" w:rsidRPr="007223FB" w:rsidRDefault="00377472" w:rsidP="00377472">
      <w:pPr>
        <w:spacing w:after="0" w:line="240" w:lineRule="auto"/>
        <w:ind w:right="-11"/>
        <w:jc w:val="center"/>
        <w:rPr>
          <w:rFonts w:eastAsia="Candara" w:cs="Candara"/>
        </w:rPr>
      </w:pPr>
      <w:r w:rsidRPr="007223FB">
        <w:rPr>
          <w:rFonts w:eastAsia="Candara" w:cs="Candara"/>
        </w:rPr>
        <w:t>Edvan Omar Marroquín</w:t>
      </w:r>
    </w:p>
    <w:p w:rsidR="00B95491" w:rsidRDefault="00B95491" w:rsidP="00B95491">
      <w:pPr>
        <w:spacing w:after="0" w:line="240" w:lineRule="auto"/>
        <w:ind w:right="-11"/>
        <w:jc w:val="center"/>
        <w:rPr>
          <w:rFonts w:eastAsia="Candara" w:cs="Candara"/>
        </w:rPr>
      </w:pPr>
      <w:r w:rsidRPr="007223FB">
        <w:rPr>
          <w:rFonts w:eastAsia="Candara" w:cs="Candara"/>
        </w:rPr>
        <w:t>Hil</w:t>
      </w:r>
      <w:r w:rsidRPr="007223FB">
        <w:rPr>
          <w:rFonts w:eastAsia="Candara" w:cs="Candara"/>
          <w:spacing w:val="1"/>
        </w:rPr>
        <w:t>d</w:t>
      </w:r>
      <w:r w:rsidRPr="007223FB">
        <w:rPr>
          <w:rFonts w:eastAsia="Candara" w:cs="Candara"/>
        </w:rPr>
        <w:t>a Be</w:t>
      </w:r>
      <w:r w:rsidRPr="007223FB">
        <w:rPr>
          <w:rFonts w:eastAsia="Candara" w:cs="Candara"/>
          <w:spacing w:val="-2"/>
        </w:rPr>
        <w:t>t</w:t>
      </w:r>
      <w:r w:rsidRPr="007223FB">
        <w:rPr>
          <w:rFonts w:eastAsia="Candara" w:cs="Candara"/>
        </w:rPr>
        <w:t xml:space="preserve">zabé </w:t>
      </w:r>
      <w:r w:rsidRPr="007223FB">
        <w:rPr>
          <w:rFonts w:eastAsia="Candara" w:cs="Candara"/>
          <w:spacing w:val="-1"/>
        </w:rPr>
        <w:t>A</w:t>
      </w:r>
      <w:r w:rsidRPr="007223FB">
        <w:rPr>
          <w:rFonts w:eastAsia="Candara" w:cs="Candara"/>
          <w:spacing w:val="1"/>
        </w:rPr>
        <w:t>rr</w:t>
      </w:r>
      <w:r w:rsidRPr="007223FB">
        <w:rPr>
          <w:rFonts w:eastAsia="Candara" w:cs="Candara"/>
          <w:spacing w:val="-3"/>
        </w:rPr>
        <w:t>e</w:t>
      </w:r>
      <w:r w:rsidRPr="007223FB">
        <w:rPr>
          <w:rFonts w:eastAsia="Candara" w:cs="Candara"/>
          <w:spacing w:val="1"/>
        </w:rPr>
        <w:t>ch</w:t>
      </w:r>
      <w:r w:rsidRPr="007223FB">
        <w:rPr>
          <w:rFonts w:eastAsia="Candara" w:cs="Candara"/>
        </w:rPr>
        <w:t>ea Urbina</w:t>
      </w:r>
    </w:p>
    <w:p w:rsidR="0079474A" w:rsidRDefault="0079474A" w:rsidP="0079474A">
      <w:pPr>
        <w:spacing w:after="0" w:line="240" w:lineRule="auto"/>
        <w:ind w:right="-11"/>
        <w:jc w:val="center"/>
        <w:rPr>
          <w:rFonts w:eastAsia="Candara" w:cs="Candara"/>
          <w:spacing w:val="1"/>
        </w:rPr>
      </w:pPr>
      <w:r>
        <w:rPr>
          <w:rFonts w:eastAsia="Candara" w:cs="Candara"/>
          <w:spacing w:val="1"/>
        </w:rPr>
        <w:t>Jorge Antonio Monterroso Castillo</w:t>
      </w:r>
    </w:p>
    <w:p w:rsidR="00377472" w:rsidRPr="007223FB" w:rsidRDefault="00377472" w:rsidP="00377472">
      <w:pPr>
        <w:spacing w:after="0" w:line="266" w:lineRule="exact"/>
        <w:ind w:right="-11"/>
        <w:jc w:val="center"/>
        <w:rPr>
          <w:rFonts w:eastAsia="Candara" w:cs="Candara"/>
          <w:position w:val="1"/>
        </w:rPr>
      </w:pPr>
      <w:r w:rsidRPr="007223FB">
        <w:rPr>
          <w:rFonts w:eastAsia="Candara" w:cs="Candara"/>
          <w:position w:val="1"/>
        </w:rPr>
        <w:t>Juan</w:t>
      </w:r>
      <w:r w:rsidRPr="007223FB">
        <w:rPr>
          <w:rFonts w:eastAsia="Candara" w:cs="Candara"/>
          <w:spacing w:val="1"/>
          <w:position w:val="1"/>
        </w:rPr>
        <w:t xml:space="preserve"> P</w:t>
      </w:r>
      <w:r w:rsidRPr="007223FB">
        <w:rPr>
          <w:rFonts w:eastAsia="Candara" w:cs="Candara"/>
          <w:position w:val="1"/>
        </w:rPr>
        <w:t>e</w:t>
      </w:r>
      <w:r w:rsidRPr="007223FB">
        <w:rPr>
          <w:rFonts w:eastAsia="Candara" w:cs="Candara"/>
          <w:spacing w:val="1"/>
          <w:position w:val="1"/>
        </w:rPr>
        <w:t>n</w:t>
      </w:r>
      <w:r w:rsidRPr="007223FB">
        <w:rPr>
          <w:rFonts w:eastAsia="Candara" w:cs="Candara"/>
          <w:position w:val="1"/>
        </w:rPr>
        <w:t xml:space="preserve">eleu </w:t>
      </w:r>
      <w:r w:rsidRPr="007223FB">
        <w:rPr>
          <w:rFonts w:eastAsia="Candara" w:cs="Candara"/>
          <w:spacing w:val="1"/>
          <w:position w:val="1"/>
        </w:rPr>
        <w:t>Y</w:t>
      </w:r>
      <w:r w:rsidRPr="007223FB">
        <w:rPr>
          <w:rFonts w:eastAsia="Candara" w:cs="Candara"/>
          <w:spacing w:val="-1"/>
          <w:position w:val="1"/>
        </w:rPr>
        <w:t>o</w:t>
      </w:r>
      <w:r w:rsidRPr="007223FB">
        <w:rPr>
          <w:rFonts w:eastAsia="Candara" w:cs="Candara"/>
          <w:spacing w:val="-2"/>
          <w:position w:val="1"/>
        </w:rPr>
        <w:t>j</w:t>
      </w:r>
      <w:r w:rsidRPr="007223FB">
        <w:rPr>
          <w:rFonts w:eastAsia="Candara" w:cs="Candara"/>
          <w:spacing w:val="1"/>
          <w:position w:val="1"/>
        </w:rPr>
        <w:t>c</w:t>
      </w:r>
      <w:r w:rsidRPr="007223FB">
        <w:rPr>
          <w:rFonts w:eastAsia="Candara" w:cs="Candara"/>
          <w:spacing w:val="-1"/>
          <w:position w:val="1"/>
        </w:rPr>
        <w:t>o</w:t>
      </w:r>
      <w:r w:rsidRPr="007223FB">
        <w:rPr>
          <w:rFonts w:eastAsia="Candara" w:cs="Candara"/>
          <w:position w:val="1"/>
        </w:rPr>
        <w:t>m</w:t>
      </w:r>
    </w:p>
    <w:p w:rsidR="00B95491" w:rsidRPr="007223FB" w:rsidRDefault="00B95491" w:rsidP="00B95491">
      <w:pPr>
        <w:spacing w:after="0" w:line="240" w:lineRule="auto"/>
        <w:ind w:right="-11"/>
        <w:jc w:val="center"/>
        <w:rPr>
          <w:rFonts w:eastAsia="Candara" w:cs="Candara"/>
        </w:rPr>
      </w:pPr>
      <w:r w:rsidRPr="007223FB">
        <w:rPr>
          <w:rFonts w:eastAsia="Candara" w:cs="Candara"/>
        </w:rPr>
        <w:t>Melissa Stefani González Fuentes</w:t>
      </w:r>
    </w:p>
    <w:p w:rsidR="00377472" w:rsidRPr="007223FB" w:rsidRDefault="00377472" w:rsidP="00377472">
      <w:pPr>
        <w:spacing w:after="0" w:line="240" w:lineRule="auto"/>
        <w:ind w:right="-11"/>
        <w:jc w:val="center"/>
        <w:rPr>
          <w:rFonts w:eastAsia="Candara" w:cs="Candara"/>
        </w:rPr>
      </w:pPr>
      <w:r w:rsidRPr="007223FB">
        <w:rPr>
          <w:rFonts w:eastAsia="Candara" w:cs="Candara"/>
        </w:rPr>
        <w:t>Ne</w:t>
      </w:r>
      <w:r w:rsidRPr="007223FB">
        <w:rPr>
          <w:rFonts w:eastAsia="Candara" w:cs="Candara"/>
          <w:spacing w:val="1"/>
        </w:rPr>
        <w:t>r</w:t>
      </w:r>
      <w:r w:rsidRPr="007223FB">
        <w:rPr>
          <w:rFonts w:eastAsia="Candara" w:cs="Candara"/>
        </w:rPr>
        <w:t>y</w:t>
      </w:r>
      <w:r w:rsidRPr="007223FB">
        <w:rPr>
          <w:rFonts w:eastAsia="Candara" w:cs="Candara"/>
          <w:spacing w:val="-1"/>
        </w:rPr>
        <w:t xml:space="preserve"> </w:t>
      </w:r>
      <w:r w:rsidRPr="007223FB">
        <w:rPr>
          <w:rFonts w:eastAsia="Candara" w:cs="Candara"/>
          <w:spacing w:val="1"/>
        </w:rPr>
        <w:t>Or</w:t>
      </w:r>
      <w:r w:rsidRPr="007223FB">
        <w:rPr>
          <w:rFonts w:eastAsia="Candara" w:cs="Candara"/>
        </w:rPr>
        <w:t>la</w:t>
      </w:r>
      <w:r w:rsidRPr="007223FB">
        <w:rPr>
          <w:rFonts w:eastAsia="Candara" w:cs="Candara"/>
          <w:spacing w:val="-2"/>
        </w:rPr>
        <w:t>n</w:t>
      </w:r>
      <w:r w:rsidRPr="007223FB">
        <w:rPr>
          <w:rFonts w:eastAsia="Candara" w:cs="Candara"/>
          <w:spacing w:val="1"/>
        </w:rPr>
        <w:t>d</w:t>
      </w:r>
      <w:r w:rsidRPr="007223FB">
        <w:rPr>
          <w:rFonts w:eastAsia="Candara" w:cs="Candara"/>
        </w:rPr>
        <w:t>o B</w:t>
      </w:r>
      <w:r w:rsidRPr="007223FB">
        <w:rPr>
          <w:rFonts w:eastAsia="Candara" w:cs="Candara"/>
          <w:spacing w:val="-3"/>
        </w:rPr>
        <w:t>ú</w:t>
      </w:r>
      <w:r w:rsidRPr="007223FB">
        <w:rPr>
          <w:rFonts w:eastAsia="Candara" w:cs="Candara"/>
          <w:spacing w:val="1"/>
        </w:rPr>
        <w:t>c</w:t>
      </w:r>
      <w:r w:rsidRPr="007223FB">
        <w:rPr>
          <w:rFonts w:eastAsia="Candara" w:cs="Candara"/>
        </w:rPr>
        <w:t>a</w:t>
      </w:r>
      <w:r w:rsidRPr="007223FB">
        <w:rPr>
          <w:rFonts w:eastAsia="Candara" w:cs="Candara"/>
          <w:spacing w:val="1"/>
        </w:rPr>
        <w:t>r</w:t>
      </w:r>
      <w:r w:rsidRPr="007223FB">
        <w:rPr>
          <w:rFonts w:eastAsia="Candara" w:cs="Candara"/>
        </w:rPr>
        <w:t>o</w:t>
      </w:r>
      <w:r w:rsidR="00B5326F" w:rsidRPr="007223FB">
        <w:rPr>
          <w:rFonts w:eastAsia="Candara" w:cs="Candara"/>
        </w:rPr>
        <w:t xml:space="preserve"> Castellanos</w:t>
      </w:r>
    </w:p>
    <w:p w:rsidR="00B95491" w:rsidRPr="007223FB" w:rsidRDefault="00B95491" w:rsidP="00B95491">
      <w:pPr>
        <w:spacing w:after="0" w:line="240" w:lineRule="auto"/>
        <w:ind w:right="-11"/>
        <w:jc w:val="center"/>
        <w:rPr>
          <w:rFonts w:eastAsia="Candara" w:cs="Candara"/>
        </w:rPr>
      </w:pPr>
      <w:r w:rsidRPr="007223FB">
        <w:rPr>
          <w:rFonts w:eastAsia="Candara" w:cs="Candara"/>
        </w:rPr>
        <w:t>Nydia Suzely Garrido Carrera</w:t>
      </w:r>
    </w:p>
    <w:p w:rsidR="00377472" w:rsidRPr="007223FB" w:rsidRDefault="00377472" w:rsidP="00377472">
      <w:pPr>
        <w:spacing w:after="0" w:line="240" w:lineRule="auto"/>
        <w:ind w:right="-11"/>
        <w:jc w:val="center"/>
        <w:rPr>
          <w:rFonts w:eastAsia="Candara" w:cs="Candara"/>
          <w:spacing w:val="1"/>
        </w:rPr>
      </w:pPr>
      <w:r w:rsidRPr="007223FB">
        <w:rPr>
          <w:rFonts w:eastAsia="Candara" w:cs="Candara"/>
          <w:spacing w:val="1"/>
        </w:rPr>
        <w:t>Paola Antonia Ochoa Bautista</w:t>
      </w:r>
    </w:p>
    <w:p w:rsidR="00512727" w:rsidRPr="007223FB" w:rsidRDefault="00512727" w:rsidP="00377472">
      <w:pPr>
        <w:spacing w:after="0" w:line="240" w:lineRule="auto"/>
        <w:ind w:right="-11"/>
        <w:jc w:val="center"/>
        <w:rPr>
          <w:rFonts w:eastAsia="Candara" w:cs="Candara"/>
          <w:spacing w:val="1"/>
        </w:rPr>
      </w:pPr>
      <w:r w:rsidRPr="007223FB">
        <w:rPr>
          <w:rFonts w:eastAsia="Candara" w:cs="Candara"/>
          <w:spacing w:val="1"/>
        </w:rPr>
        <w:t>Sharon Stefani Pinzón Sagastume</w:t>
      </w:r>
    </w:p>
    <w:p w:rsidR="00512727" w:rsidRPr="007223FB" w:rsidRDefault="00512727" w:rsidP="00377472">
      <w:pPr>
        <w:spacing w:after="0" w:line="240" w:lineRule="auto"/>
        <w:ind w:right="-11"/>
        <w:jc w:val="center"/>
        <w:rPr>
          <w:rFonts w:eastAsia="Candara" w:cs="Candara"/>
          <w:spacing w:val="1"/>
        </w:rPr>
      </w:pPr>
      <w:r w:rsidRPr="007223FB">
        <w:rPr>
          <w:rFonts w:eastAsia="Candara" w:cs="Candara"/>
          <w:spacing w:val="1"/>
        </w:rPr>
        <w:t>Yessenia Paola Zamora Santos</w:t>
      </w:r>
    </w:p>
    <w:p w:rsidR="00377472" w:rsidRDefault="00377472" w:rsidP="00F73BA8">
      <w:pPr>
        <w:spacing w:before="35" w:after="0" w:line="240" w:lineRule="auto"/>
        <w:ind w:left="3973" w:right="4229"/>
        <w:jc w:val="center"/>
        <w:rPr>
          <w:rFonts w:eastAsia="Candara" w:cs="Candara"/>
        </w:rPr>
      </w:pPr>
    </w:p>
    <w:p w:rsidR="00E73EEB" w:rsidRPr="007223FB" w:rsidRDefault="00E73EEB" w:rsidP="00F73BA8">
      <w:pPr>
        <w:spacing w:before="35" w:after="0" w:line="240" w:lineRule="auto"/>
        <w:ind w:left="3973" w:right="4229"/>
        <w:jc w:val="center"/>
        <w:rPr>
          <w:rFonts w:eastAsia="Candara" w:cs="Candara"/>
        </w:rPr>
      </w:pPr>
    </w:p>
    <w:p w:rsidR="00E73EEB" w:rsidRDefault="00E73EEB">
      <w:pPr>
        <w:jc w:val="left"/>
        <w:rPr>
          <w:rFonts w:eastAsia="Times New Roman" w:cs="Times New Roman"/>
          <w:b/>
          <w:bCs/>
          <w:kern w:val="32"/>
          <w:lang w:val="es-ES" w:eastAsia="es-ES"/>
        </w:rPr>
      </w:pPr>
      <w:r>
        <w:rPr>
          <w:rFonts w:eastAsia="Times New Roman" w:cs="Times New Roman"/>
          <w:b/>
          <w:bCs/>
          <w:kern w:val="32"/>
          <w:lang w:val="es-ES" w:eastAsia="es-ES"/>
        </w:rPr>
        <w:br w:type="page"/>
      </w:r>
    </w:p>
    <w:p w:rsidR="00F73BA8" w:rsidRPr="007223FB" w:rsidRDefault="00985E6E" w:rsidP="00D1423B">
      <w:pPr>
        <w:spacing w:before="35" w:after="0" w:line="240" w:lineRule="auto"/>
        <w:ind w:right="49" w:firstLine="708"/>
        <w:jc w:val="center"/>
        <w:rPr>
          <w:rFonts w:eastAsia="Times New Roman" w:cs="Times New Roman"/>
          <w:b/>
          <w:bCs/>
          <w:kern w:val="32"/>
          <w:lang w:val="es-ES" w:eastAsia="es-ES"/>
        </w:rPr>
      </w:pPr>
      <w:r>
        <w:rPr>
          <w:rFonts w:eastAsia="Times New Roman" w:cs="Times New Roman"/>
          <w:b/>
          <w:bCs/>
          <w:kern w:val="32"/>
          <w:lang w:val="es-ES" w:eastAsia="es-ES"/>
        </w:rPr>
        <w:lastRenderedPageBreak/>
        <w:t>ÍNDICE GENERAL</w:t>
      </w:r>
    </w:p>
    <w:sdt>
      <w:sdtPr>
        <w:rPr>
          <w:rFonts w:eastAsiaTheme="minorHAnsi" w:cstheme="minorBidi"/>
          <w:b w:val="0"/>
          <w:i w:val="0"/>
          <w:caps w:val="0"/>
          <w:color w:val="auto"/>
          <w:spacing w:val="0"/>
          <w:sz w:val="20"/>
          <w:szCs w:val="22"/>
          <w:lang w:val="es-ES" w:eastAsia="en-US" w:bidi="ar-SA"/>
        </w:rPr>
        <w:id w:val="914357747"/>
        <w:docPartObj>
          <w:docPartGallery w:val="Table of Contents"/>
          <w:docPartUnique/>
        </w:docPartObj>
      </w:sdtPr>
      <w:sdtEndPr>
        <w:rPr>
          <w:bCs/>
          <w:sz w:val="22"/>
        </w:rPr>
      </w:sdtEndPr>
      <w:sdtContent>
        <w:p w:rsidR="00D1423B" w:rsidRPr="00DC1886" w:rsidRDefault="008912FB" w:rsidP="008912FB">
          <w:pPr>
            <w:pStyle w:val="TtulodeTDC"/>
            <w:numPr>
              <w:ilvl w:val="0"/>
              <w:numId w:val="0"/>
            </w:numPr>
            <w:pBdr>
              <w:bottom w:val="thinThickSmallGap" w:sz="12" w:space="0" w:color="C45911" w:themeColor="accent2" w:themeShade="BF"/>
            </w:pBdr>
            <w:tabs>
              <w:tab w:val="left" w:pos="945"/>
            </w:tabs>
            <w:ind w:left="432" w:hanging="432"/>
            <w:jc w:val="left"/>
            <w:rPr>
              <w:color w:val="auto"/>
              <w:sz w:val="22"/>
              <w:szCs w:val="22"/>
            </w:rPr>
          </w:pPr>
          <w:r w:rsidRPr="009B30CD">
            <w:rPr>
              <w:rFonts w:eastAsiaTheme="minorHAnsi" w:cstheme="minorBidi"/>
              <w:b w:val="0"/>
              <w:i w:val="0"/>
              <w:caps w:val="0"/>
              <w:color w:val="auto"/>
              <w:spacing w:val="0"/>
              <w:sz w:val="20"/>
              <w:szCs w:val="22"/>
              <w:lang w:val="es-ES" w:eastAsia="en-US" w:bidi="ar-SA"/>
            </w:rPr>
            <w:tab/>
          </w:r>
          <w:r w:rsidRPr="009B30CD">
            <w:rPr>
              <w:rFonts w:eastAsiaTheme="minorHAnsi" w:cstheme="minorBidi"/>
              <w:b w:val="0"/>
              <w:i w:val="0"/>
              <w:caps w:val="0"/>
              <w:color w:val="auto"/>
              <w:spacing w:val="0"/>
              <w:sz w:val="20"/>
              <w:szCs w:val="22"/>
              <w:lang w:val="es-ES" w:eastAsia="en-US" w:bidi="ar-SA"/>
            </w:rPr>
            <w:tab/>
          </w:r>
        </w:p>
        <w:p w:rsidR="00985E6E" w:rsidRDefault="00D1423B">
          <w:pPr>
            <w:pStyle w:val="TDC1"/>
            <w:rPr>
              <w:rFonts w:asciiTheme="minorHAnsi" w:eastAsiaTheme="minorEastAsia" w:hAnsiTheme="minorHAnsi" w:cstheme="minorBidi"/>
              <w:noProof/>
            </w:rPr>
          </w:pPr>
          <w:r w:rsidRPr="009B30CD">
            <w:rPr>
              <w:rFonts w:ascii="Candara" w:hAnsi="Candara"/>
              <w:sz w:val="20"/>
            </w:rPr>
            <w:fldChar w:fldCharType="begin"/>
          </w:r>
          <w:r w:rsidRPr="009B30CD">
            <w:rPr>
              <w:rFonts w:ascii="Candara" w:hAnsi="Candara"/>
              <w:sz w:val="20"/>
            </w:rPr>
            <w:instrText xml:space="preserve"> TOC \o "1-3" \h \z \u </w:instrText>
          </w:r>
          <w:r w:rsidRPr="009B30CD">
            <w:rPr>
              <w:rFonts w:ascii="Candara" w:hAnsi="Candara"/>
              <w:sz w:val="20"/>
            </w:rPr>
            <w:fldChar w:fldCharType="separate"/>
          </w:r>
          <w:hyperlink w:anchor="_Toc19527415" w:history="1">
            <w:r w:rsidR="00985E6E" w:rsidRPr="006C6399">
              <w:rPr>
                <w:rStyle w:val="Hipervnculo"/>
                <w:rFonts w:eastAsia="Times New Roman"/>
                <w:noProof/>
                <w:lang w:val="es-ES" w:eastAsia="es-ES"/>
              </w:rPr>
              <w:t>1</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Presentación</w:t>
            </w:r>
            <w:r w:rsidR="00985E6E">
              <w:rPr>
                <w:noProof/>
                <w:webHidden/>
              </w:rPr>
              <w:tab/>
            </w:r>
            <w:r w:rsidR="00985E6E">
              <w:rPr>
                <w:noProof/>
                <w:webHidden/>
              </w:rPr>
              <w:fldChar w:fldCharType="begin"/>
            </w:r>
            <w:r w:rsidR="00985E6E">
              <w:rPr>
                <w:noProof/>
                <w:webHidden/>
              </w:rPr>
              <w:instrText xml:space="preserve"> PAGEREF _Toc19527415 \h </w:instrText>
            </w:r>
            <w:r w:rsidR="00985E6E">
              <w:rPr>
                <w:noProof/>
                <w:webHidden/>
              </w:rPr>
            </w:r>
            <w:r w:rsidR="00985E6E">
              <w:rPr>
                <w:noProof/>
                <w:webHidden/>
              </w:rPr>
              <w:fldChar w:fldCharType="separate"/>
            </w:r>
            <w:r w:rsidR="00205E51">
              <w:rPr>
                <w:noProof/>
                <w:webHidden/>
              </w:rPr>
              <w:t>1</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16" w:history="1">
            <w:r w:rsidR="00985E6E" w:rsidRPr="006C6399">
              <w:rPr>
                <w:rStyle w:val="Hipervnculo"/>
                <w:rFonts w:eastAsia="Times New Roman"/>
                <w:noProof/>
                <w:lang w:val="es-ES" w:eastAsia="es-ES"/>
              </w:rPr>
              <w:t>2</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Política General de Gobierno, Avance de Ejes y Resultados Estratégicos de País</w:t>
            </w:r>
            <w:r w:rsidR="00985E6E">
              <w:rPr>
                <w:noProof/>
                <w:webHidden/>
              </w:rPr>
              <w:tab/>
            </w:r>
            <w:r w:rsidR="00985E6E">
              <w:rPr>
                <w:noProof/>
                <w:webHidden/>
              </w:rPr>
              <w:fldChar w:fldCharType="begin"/>
            </w:r>
            <w:r w:rsidR="00985E6E">
              <w:rPr>
                <w:noProof/>
                <w:webHidden/>
              </w:rPr>
              <w:instrText xml:space="preserve"> PAGEREF _Toc19527416 \h </w:instrText>
            </w:r>
            <w:r w:rsidR="00985E6E">
              <w:rPr>
                <w:noProof/>
                <w:webHidden/>
              </w:rPr>
            </w:r>
            <w:r w:rsidR="00985E6E">
              <w:rPr>
                <w:noProof/>
                <w:webHidden/>
              </w:rPr>
              <w:fldChar w:fldCharType="separate"/>
            </w:r>
            <w:r w:rsidR="00205E51">
              <w:rPr>
                <w:noProof/>
                <w:webHidden/>
              </w:rPr>
              <w:t>3</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17" w:history="1">
            <w:r w:rsidR="00985E6E" w:rsidRPr="006C6399">
              <w:rPr>
                <w:rStyle w:val="Hipervnculo"/>
                <w:noProof/>
              </w:rPr>
              <w:t>2.1</w:t>
            </w:r>
            <w:r w:rsidR="00985E6E">
              <w:rPr>
                <w:rFonts w:asciiTheme="minorHAnsi" w:hAnsiTheme="minorHAnsi" w:cstheme="minorBidi"/>
                <w:noProof/>
              </w:rPr>
              <w:tab/>
            </w:r>
            <w:r w:rsidR="00985E6E" w:rsidRPr="006C6399">
              <w:rPr>
                <w:rStyle w:val="Hipervnculo"/>
                <w:noProof/>
              </w:rPr>
              <w:t>Tolerancia cero a la corrupción y modernización del Estado</w:t>
            </w:r>
            <w:r w:rsidR="00985E6E">
              <w:rPr>
                <w:noProof/>
                <w:webHidden/>
              </w:rPr>
              <w:tab/>
            </w:r>
            <w:r w:rsidR="00985E6E">
              <w:rPr>
                <w:noProof/>
                <w:webHidden/>
              </w:rPr>
              <w:fldChar w:fldCharType="begin"/>
            </w:r>
            <w:r w:rsidR="00985E6E">
              <w:rPr>
                <w:noProof/>
                <w:webHidden/>
              </w:rPr>
              <w:instrText xml:space="preserve"> PAGEREF _Toc19527417 \h </w:instrText>
            </w:r>
            <w:r w:rsidR="00985E6E">
              <w:rPr>
                <w:noProof/>
                <w:webHidden/>
              </w:rPr>
            </w:r>
            <w:r w:rsidR="00985E6E">
              <w:rPr>
                <w:noProof/>
                <w:webHidden/>
              </w:rPr>
              <w:fldChar w:fldCharType="separate"/>
            </w:r>
            <w:r w:rsidR="00205E51">
              <w:rPr>
                <w:noProof/>
                <w:webHidden/>
              </w:rPr>
              <w:t>3</w:t>
            </w:r>
            <w:r w:rsidR="00985E6E">
              <w:rPr>
                <w:noProof/>
                <w:webHidden/>
              </w:rPr>
              <w:fldChar w:fldCharType="end"/>
            </w:r>
          </w:hyperlink>
        </w:p>
        <w:p w:rsidR="00985E6E" w:rsidRPr="00DC1886" w:rsidRDefault="00E94D43">
          <w:pPr>
            <w:pStyle w:val="TDC2"/>
            <w:rPr>
              <w:rFonts w:asciiTheme="minorHAnsi" w:hAnsiTheme="minorHAnsi" w:cstheme="minorBidi"/>
              <w:b/>
              <w:noProof/>
            </w:rPr>
          </w:pPr>
          <w:hyperlink w:anchor="_Toc19527418" w:history="1">
            <w:r w:rsidR="00985E6E" w:rsidRPr="006C6399">
              <w:rPr>
                <w:rStyle w:val="Hipervnculo"/>
                <w:noProof/>
              </w:rPr>
              <w:t>2.2</w:t>
            </w:r>
            <w:r w:rsidR="00985E6E">
              <w:rPr>
                <w:rFonts w:asciiTheme="minorHAnsi" w:hAnsiTheme="minorHAnsi" w:cstheme="minorBidi"/>
                <w:noProof/>
              </w:rPr>
              <w:tab/>
            </w:r>
            <w:r w:rsidR="00985E6E" w:rsidRPr="006C6399">
              <w:rPr>
                <w:rStyle w:val="Hipervnculo"/>
                <w:noProof/>
              </w:rPr>
              <w:t>Seguridad alimentaria y nutricional, salud integral y educación de calidad</w:t>
            </w:r>
            <w:r w:rsidR="00985E6E">
              <w:rPr>
                <w:noProof/>
                <w:webHidden/>
              </w:rPr>
              <w:tab/>
            </w:r>
            <w:r w:rsidR="00985E6E">
              <w:rPr>
                <w:noProof/>
                <w:webHidden/>
              </w:rPr>
              <w:fldChar w:fldCharType="begin"/>
            </w:r>
            <w:r w:rsidR="00985E6E">
              <w:rPr>
                <w:noProof/>
                <w:webHidden/>
              </w:rPr>
              <w:instrText xml:space="preserve"> PAGEREF _Toc19527418 \h </w:instrText>
            </w:r>
            <w:r w:rsidR="00985E6E">
              <w:rPr>
                <w:noProof/>
                <w:webHidden/>
              </w:rPr>
            </w:r>
            <w:r w:rsidR="00985E6E">
              <w:rPr>
                <w:noProof/>
                <w:webHidden/>
              </w:rPr>
              <w:fldChar w:fldCharType="separate"/>
            </w:r>
            <w:r w:rsidR="00205E51">
              <w:rPr>
                <w:noProof/>
                <w:webHidden/>
              </w:rPr>
              <w:t>3</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19" w:history="1">
            <w:r w:rsidR="00985E6E" w:rsidRPr="006C6399">
              <w:rPr>
                <w:rStyle w:val="Hipervnculo"/>
                <w:noProof/>
              </w:rPr>
              <w:t>2.2.1</w:t>
            </w:r>
            <w:r w:rsidR="00985E6E">
              <w:rPr>
                <w:rFonts w:asciiTheme="minorHAnsi" w:hAnsiTheme="minorHAnsi" w:cstheme="minorBidi"/>
                <w:noProof/>
              </w:rPr>
              <w:tab/>
            </w:r>
            <w:r w:rsidR="00985E6E" w:rsidRPr="006C6399">
              <w:rPr>
                <w:rStyle w:val="Hipervnculo"/>
                <w:noProof/>
              </w:rPr>
              <w:t>En 2019 se habrá reducido la desnutrición crónica en 10 puntos porcentuales en niños menores de dos años, con prioridad en la niñez indígena y de áreas rurales.</w:t>
            </w:r>
            <w:r w:rsidR="00985E6E">
              <w:rPr>
                <w:noProof/>
                <w:webHidden/>
              </w:rPr>
              <w:tab/>
            </w:r>
            <w:r w:rsidR="00985E6E">
              <w:rPr>
                <w:noProof/>
                <w:webHidden/>
              </w:rPr>
              <w:fldChar w:fldCharType="begin"/>
            </w:r>
            <w:r w:rsidR="00985E6E">
              <w:rPr>
                <w:noProof/>
                <w:webHidden/>
              </w:rPr>
              <w:instrText xml:space="preserve"> PAGEREF _Toc19527419 \h </w:instrText>
            </w:r>
            <w:r w:rsidR="00985E6E">
              <w:rPr>
                <w:noProof/>
                <w:webHidden/>
              </w:rPr>
            </w:r>
            <w:r w:rsidR="00985E6E">
              <w:rPr>
                <w:noProof/>
                <w:webHidden/>
              </w:rPr>
              <w:fldChar w:fldCharType="separate"/>
            </w:r>
            <w:r w:rsidR="00205E51">
              <w:rPr>
                <w:noProof/>
                <w:webHidden/>
              </w:rPr>
              <w:t>3</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0" w:history="1">
            <w:r w:rsidR="00985E6E" w:rsidRPr="006C6399">
              <w:rPr>
                <w:rStyle w:val="Hipervnculo"/>
                <w:noProof/>
              </w:rPr>
              <w:t>2.2.2</w:t>
            </w:r>
            <w:r w:rsidR="00985E6E">
              <w:rPr>
                <w:rFonts w:asciiTheme="minorHAnsi" w:hAnsiTheme="minorHAnsi" w:cstheme="minorBidi"/>
                <w:noProof/>
              </w:rPr>
              <w:tab/>
            </w:r>
            <w:r w:rsidR="00985E6E" w:rsidRPr="006C6399">
              <w:rPr>
                <w:rStyle w:val="Hipervnculo"/>
                <w:noProof/>
              </w:rPr>
              <w:t>Para el 2019, se ha disminuido la población subalimentada en 1 punto porcentual (De 15.6% en 2015 a 14.6% en 2019).</w:t>
            </w:r>
            <w:r w:rsidR="00985E6E">
              <w:rPr>
                <w:noProof/>
                <w:webHidden/>
              </w:rPr>
              <w:tab/>
            </w:r>
            <w:r w:rsidR="00985E6E">
              <w:rPr>
                <w:noProof/>
                <w:webHidden/>
              </w:rPr>
              <w:fldChar w:fldCharType="begin"/>
            </w:r>
            <w:r w:rsidR="00985E6E">
              <w:rPr>
                <w:noProof/>
                <w:webHidden/>
              </w:rPr>
              <w:instrText xml:space="preserve"> PAGEREF _Toc19527420 \h </w:instrText>
            </w:r>
            <w:r w:rsidR="00985E6E">
              <w:rPr>
                <w:noProof/>
                <w:webHidden/>
              </w:rPr>
            </w:r>
            <w:r w:rsidR="00985E6E">
              <w:rPr>
                <w:noProof/>
                <w:webHidden/>
              </w:rPr>
              <w:fldChar w:fldCharType="separate"/>
            </w:r>
            <w:r w:rsidR="00205E51">
              <w:rPr>
                <w:noProof/>
                <w:webHidden/>
              </w:rPr>
              <w:t>3</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1" w:history="1">
            <w:r w:rsidR="00985E6E" w:rsidRPr="006C6399">
              <w:rPr>
                <w:rStyle w:val="Hipervnculo"/>
                <w:noProof/>
              </w:rPr>
              <w:t>2.2.3</w:t>
            </w:r>
            <w:r w:rsidR="00985E6E">
              <w:rPr>
                <w:rFonts w:asciiTheme="minorHAnsi" w:hAnsiTheme="minorHAnsi" w:cstheme="minorBidi"/>
                <w:noProof/>
              </w:rPr>
              <w:tab/>
            </w:r>
            <w:r w:rsidR="00985E6E" w:rsidRPr="006C6399">
              <w:rPr>
                <w:rStyle w:val="Hipervnculo"/>
                <w:noProof/>
              </w:rPr>
              <w:t>Para el 2019, se ha disminuido la mortalidad en la niñez en 10 puntos por cada mil nacidos vivos (De 35 muertes por mil nacidos vivos en 2015 a 25 muertes por mil nacidos vivos en 2019).</w:t>
            </w:r>
            <w:r w:rsidR="00985E6E">
              <w:rPr>
                <w:noProof/>
                <w:webHidden/>
              </w:rPr>
              <w:tab/>
            </w:r>
            <w:r w:rsidR="00985E6E">
              <w:rPr>
                <w:noProof/>
                <w:webHidden/>
              </w:rPr>
              <w:fldChar w:fldCharType="begin"/>
            </w:r>
            <w:r w:rsidR="00985E6E">
              <w:rPr>
                <w:noProof/>
                <w:webHidden/>
              </w:rPr>
              <w:instrText xml:space="preserve"> PAGEREF _Toc19527421 \h </w:instrText>
            </w:r>
            <w:r w:rsidR="00985E6E">
              <w:rPr>
                <w:noProof/>
                <w:webHidden/>
              </w:rPr>
            </w:r>
            <w:r w:rsidR="00985E6E">
              <w:rPr>
                <w:noProof/>
                <w:webHidden/>
              </w:rPr>
              <w:fldChar w:fldCharType="separate"/>
            </w:r>
            <w:r w:rsidR="00205E51">
              <w:rPr>
                <w:noProof/>
                <w:webHidden/>
              </w:rPr>
              <w:t>5</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2" w:history="1">
            <w:r w:rsidR="00985E6E" w:rsidRPr="006C6399">
              <w:rPr>
                <w:rStyle w:val="Hipervnculo"/>
                <w:noProof/>
              </w:rPr>
              <w:t>2.2.4</w:t>
            </w:r>
            <w:r w:rsidR="00985E6E">
              <w:rPr>
                <w:rFonts w:asciiTheme="minorHAnsi" w:hAnsiTheme="minorHAnsi" w:cstheme="minorBidi"/>
                <w:noProof/>
              </w:rPr>
              <w:tab/>
            </w:r>
            <w:r w:rsidR="00985E6E" w:rsidRPr="006C6399">
              <w:rPr>
                <w:rStyle w:val="Hipervnculo"/>
                <w:noProof/>
              </w:rPr>
              <w:t>Para el 2019, se ha disminuido la razón de mortalidad materna en 20 puntos (De 113 muertes por cada cien mil nacidos vivos en 2013 a 93 muertes por cada cien mil nacidos vivos en 2019)</w:t>
            </w:r>
            <w:r w:rsidR="00985E6E">
              <w:rPr>
                <w:noProof/>
                <w:webHidden/>
              </w:rPr>
              <w:tab/>
            </w:r>
            <w:r w:rsidR="00985E6E">
              <w:rPr>
                <w:noProof/>
                <w:webHidden/>
              </w:rPr>
              <w:fldChar w:fldCharType="begin"/>
            </w:r>
            <w:r w:rsidR="00985E6E">
              <w:rPr>
                <w:noProof/>
                <w:webHidden/>
              </w:rPr>
              <w:instrText xml:space="preserve"> PAGEREF _Toc19527422 \h </w:instrText>
            </w:r>
            <w:r w:rsidR="00985E6E">
              <w:rPr>
                <w:noProof/>
                <w:webHidden/>
              </w:rPr>
            </w:r>
            <w:r w:rsidR="00985E6E">
              <w:rPr>
                <w:noProof/>
                <w:webHidden/>
              </w:rPr>
              <w:fldChar w:fldCharType="separate"/>
            </w:r>
            <w:r w:rsidR="00205E51">
              <w:rPr>
                <w:noProof/>
                <w:webHidden/>
              </w:rPr>
              <w:t>5</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3" w:history="1">
            <w:r w:rsidR="00985E6E" w:rsidRPr="006C6399">
              <w:rPr>
                <w:rStyle w:val="Hipervnculo"/>
                <w:noProof/>
              </w:rPr>
              <w:t>2.2.5</w:t>
            </w:r>
            <w:r w:rsidR="00985E6E">
              <w:rPr>
                <w:rFonts w:asciiTheme="minorHAnsi" w:hAnsiTheme="minorHAnsi" w:cstheme="minorBidi"/>
                <w:noProof/>
              </w:rPr>
              <w:tab/>
            </w:r>
            <w:r w:rsidR="00985E6E" w:rsidRPr="006C6399">
              <w:rPr>
                <w:rStyle w:val="Hipervnculo"/>
                <w:noProof/>
              </w:rPr>
              <w:t>En 2019, la cobertura en educación primaria se incrementó en 6 puntos porcentuales. Línea de base 82% en 2014.  Meta 88% 2019.</w:t>
            </w:r>
            <w:r w:rsidR="00985E6E">
              <w:rPr>
                <w:noProof/>
                <w:webHidden/>
              </w:rPr>
              <w:tab/>
            </w:r>
            <w:r w:rsidR="00985E6E">
              <w:rPr>
                <w:noProof/>
                <w:webHidden/>
              </w:rPr>
              <w:fldChar w:fldCharType="begin"/>
            </w:r>
            <w:r w:rsidR="00985E6E">
              <w:rPr>
                <w:noProof/>
                <w:webHidden/>
              </w:rPr>
              <w:instrText xml:space="preserve"> PAGEREF _Toc19527423 \h </w:instrText>
            </w:r>
            <w:r w:rsidR="00985E6E">
              <w:rPr>
                <w:noProof/>
                <w:webHidden/>
              </w:rPr>
            </w:r>
            <w:r w:rsidR="00985E6E">
              <w:rPr>
                <w:noProof/>
                <w:webHidden/>
              </w:rPr>
              <w:fldChar w:fldCharType="separate"/>
            </w:r>
            <w:r w:rsidR="00205E51">
              <w:rPr>
                <w:noProof/>
                <w:webHidden/>
              </w:rPr>
              <w:t>6</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4" w:history="1">
            <w:r w:rsidR="00985E6E" w:rsidRPr="006C6399">
              <w:rPr>
                <w:rStyle w:val="Hipervnculo"/>
                <w:noProof/>
              </w:rPr>
              <w:t>2.2.6</w:t>
            </w:r>
            <w:r w:rsidR="00985E6E">
              <w:rPr>
                <w:rFonts w:asciiTheme="minorHAnsi" w:hAnsiTheme="minorHAnsi" w:cstheme="minorBidi"/>
                <w:noProof/>
              </w:rPr>
              <w:tab/>
            </w:r>
            <w:r w:rsidR="00985E6E" w:rsidRPr="006C6399">
              <w:rPr>
                <w:rStyle w:val="Hipervnculo"/>
                <w:noProof/>
              </w:rPr>
              <w:t>Para el 2019, se ha incrementado la cobertura de educación preprimaria en 12 puntos porcentuales (De 47.3% en 2014 a 59.3% en 2019).</w:t>
            </w:r>
            <w:r w:rsidR="00985E6E">
              <w:rPr>
                <w:noProof/>
                <w:webHidden/>
              </w:rPr>
              <w:tab/>
            </w:r>
            <w:r w:rsidR="00985E6E">
              <w:rPr>
                <w:noProof/>
                <w:webHidden/>
              </w:rPr>
              <w:fldChar w:fldCharType="begin"/>
            </w:r>
            <w:r w:rsidR="00985E6E">
              <w:rPr>
                <w:noProof/>
                <w:webHidden/>
              </w:rPr>
              <w:instrText xml:space="preserve"> PAGEREF _Toc19527424 \h </w:instrText>
            </w:r>
            <w:r w:rsidR="00985E6E">
              <w:rPr>
                <w:noProof/>
                <w:webHidden/>
              </w:rPr>
            </w:r>
            <w:r w:rsidR="00985E6E">
              <w:rPr>
                <w:noProof/>
                <w:webHidden/>
              </w:rPr>
              <w:fldChar w:fldCharType="separate"/>
            </w:r>
            <w:r w:rsidR="00205E51">
              <w:rPr>
                <w:noProof/>
                <w:webHidden/>
              </w:rPr>
              <w:t>6</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5" w:history="1">
            <w:r w:rsidR="00985E6E" w:rsidRPr="006C6399">
              <w:rPr>
                <w:rStyle w:val="Hipervnculo"/>
                <w:noProof/>
              </w:rPr>
              <w:t>2.2.7</w:t>
            </w:r>
            <w:r w:rsidR="00985E6E">
              <w:rPr>
                <w:rFonts w:asciiTheme="minorHAnsi" w:hAnsiTheme="minorHAnsi" w:cstheme="minorBidi"/>
                <w:noProof/>
              </w:rPr>
              <w:tab/>
            </w:r>
            <w:r w:rsidR="00985E6E" w:rsidRPr="006C6399">
              <w:rPr>
                <w:rStyle w:val="Hipervnculo"/>
                <w:noProof/>
              </w:rPr>
              <w:t>Para el 2019, se ha incrementado la tasa de finalización en primaria en 7.1 puntos porcentuales (de 71.7 en 2013 a 78.8 en 2019).</w:t>
            </w:r>
            <w:r w:rsidR="00985E6E">
              <w:rPr>
                <w:noProof/>
                <w:webHidden/>
              </w:rPr>
              <w:tab/>
            </w:r>
            <w:r w:rsidR="00985E6E">
              <w:rPr>
                <w:noProof/>
                <w:webHidden/>
              </w:rPr>
              <w:fldChar w:fldCharType="begin"/>
            </w:r>
            <w:r w:rsidR="00985E6E">
              <w:rPr>
                <w:noProof/>
                <w:webHidden/>
              </w:rPr>
              <w:instrText xml:space="preserve"> PAGEREF _Toc19527425 \h </w:instrText>
            </w:r>
            <w:r w:rsidR="00985E6E">
              <w:rPr>
                <w:noProof/>
                <w:webHidden/>
              </w:rPr>
            </w:r>
            <w:r w:rsidR="00985E6E">
              <w:rPr>
                <w:noProof/>
                <w:webHidden/>
              </w:rPr>
              <w:fldChar w:fldCharType="separate"/>
            </w:r>
            <w:r w:rsidR="00205E51">
              <w:rPr>
                <w:noProof/>
                <w:webHidden/>
              </w:rPr>
              <w:t>6</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26" w:history="1">
            <w:r w:rsidR="00985E6E" w:rsidRPr="006C6399">
              <w:rPr>
                <w:rStyle w:val="Hipervnculo"/>
                <w:noProof/>
              </w:rPr>
              <w:t>2.3</w:t>
            </w:r>
            <w:r w:rsidR="00985E6E">
              <w:rPr>
                <w:rFonts w:asciiTheme="minorHAnsi" w:hAnsiTheme="minorHAnsi" w:cstheme="minorBidi"/>
                <w:noProof/>
              </w:rPr>
              <w:tab/>
            </w:r>
            <w:r w:rsidR="00985E6E" w:rsidRPr="006C6399">
              <w:rPr>
                <w:rStyle w:val="Hipervnculo"/>
                <w:noProof/>
              </w:rPr>
              <w:t>Fomento de las Mipymes, turismo, vivienda y trabajo digno y decente</w:t>
            </w:r>
            <w:r w:rsidR="00985E6E">
              <w:rPr>
                <w:noProof/>
                <w:webHidden/>
              </w:rPr>
              <w:tab/>
            </w:r>
            <w:r w:rsidR="00985E6E">
              <w:rPr>
                <w:noProof/>
                <w:webHidden/>
              </w:rPr>
              <w:fldChar w:fldCharType="begin"/>
            </w:r>
            <w:r w:rsidR="00985E6E">
              <w:rPr>
                <w:noProof/>
                <w:webHidden/>
              </w:rPr>
              <w:instrText xml:space="preserve"> PAGEREF _Toc19527426 \h </w:instrText>
            </w:r>
            <w:r w:rsidR="00985E6E">
              <w:rPr>
                <w:noProof/>
                <w:webHidden/>
              </w:rPr>
            </w:r>
            <w:r w:rsidR="00985E6E">
              <w:rPr>
                <w:noProof/>
                <w:webHidden/>
              </w:rPr>
              <w:fldChar w:fldCharType="separate"/>
            </w:r>
            <w:r w:rsidR="00205E51">
              <w:rPr>
                <w:noProof/>
                <w:webHidden/>
              </w:rPr>
              <w:t>6</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7" w:history="1">
            <w:r w:rsidR="00985E6E" w:rsidRPr="006C6399">
              <w:rPr>
                <w:rStyle w:val="Hipervnculo"/>
                <w:noProof/>
              </w:rPr>
              <w:t>2.3.1</w:t>
            </w:r>
            <w:r w:rsidR="00985E6E">
              <w:rPr>
                <w:rFonts w:asciiTheme="minorHAnsi" w:hAnsiTheme="minorHAnsi" w:cstheme="minorBidi"/>
                <w:noProof/>
              </w:rPr>
              <w:tab/>
            </w:r>
            <w:r w:rsidR="00985E6E" w:rsidRPr="006C6399">
              <w:rPr>
                <w:rStyle w:val="Hipervnculo"/>
                <w:noProof/>
              </w:rPr>
              <w:t>En 2019, la posición de país en el Índice de Competitividad Turística ascendió en 10 Posiciones. Línea base: posición 80 (2015. Foro Económico Mundial). Meta: posición 70 (2019).</w:t>
            </w:r>
            <w:r w:rsidR="00985E6E">
              <w:rPr>
                <w:noProof/>
                <w:webHidden/>
              </w:rPr>
              <w:tab/>
            </w:r>
            <w:r w:rsidR="00985E6E">
              <w:rPr>
                <w:noProof/>
                <w:webHidden/>
              </w:rPr>
              <w:fldChar w:fldCharType="begin"/>
            </w:r>
            <w:r w:rsidR="00985E6E">
              <w:rPr>
                <w:noProof/>
                <w:webHidden/>
              </w:rPr>
              <w:instrText xml:space="preserve"> PAGEREF _Toc19527427 \h </w:instrText>
            </w:r>
            <w:r w:rsidR="00985E6E">
              <w:rPr>
                <w:noProof/>
                <w:webHidden/>
              </w:rPr>
            </w:r>
            <w:r w:rsidR="00985E6E">
              <w:rPr>
                <w:noProof/>
                <w:webHidden/>
              </w:rPr>
              <w:fldChar w:fldCharType="separate"/>
            </w:r>
            <w:r w:rsidR="00205E51">
              <w:rPr>
                <w:noProof/>
                <w:webHidden/>
              </w:rPr>
              <w:t>6</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8" w:history="1">
            <w:r w:rsidR="00985E6E" w:rsidRPr="006C6399">
              <w:rPr>
                <w:rStyle w:val="Hipervnculo"/>
                <w:noProof/>
              </w:rPr>
              <w:t>2.3.2</w:t>
            </w:r>
            <w:r w:rsidR="00985E6E">
              <w:rPr>
                <w:rFonts w:asciiTheme="minorHAnsi" w:hAnsiTheme="minorHAnsi" w:cstheme="minorBidi"/>
                <w:noProof/>
              </w:rPr>
              <w:tab/>
            </w:r>
            <w:r w:rsidR="00985E6E" w:rsidRPr="006C6399">
              <w:rPr>
                <w:rStyle w:val="Hipervnculo"/>
                <w:noProof/>
              </w:rPr>
              <w:t>En 2019 se redujo el déficit habitacional en 4%</w:t>
            </w:r>
            <w:r w:rsidR="00985E6E">
              <w:rPr>
                <w:noProof/>
                <w:webHidden/>
              </w:rPr>
              <w:tab/>
            </w:r>
            <w:r w:rsidR="00985E6E">
              <w:rPr>
                <w:noProof/>
                <w:webHidden/>
              </w:rPr>
              <w:fldChar w:fldCharType="begin"/>
            </w:r>
            <w:r w:rsidR="00985E6E">
              <w:rPr>
                <w:noProof/>
                <w:webHidden/>
              </w:rPr>
              <w:instrText xml:space="preserve"> PAGEREF _Toc19527428 \h </w:instrText>
            </w:r>
            <w:r w:rsidR="00985E6E">
              <w:rPr>
                <w:noProof/>
                <w:webHidden/>
              </w:rPr>
            </w:r>
            <w:r w:rsidR="00985E6E">
              <w:rPr>
                <w:noProof/>
                <w:webHidden/>
              </w:rPr>
              <w:fldChar w:fldCharType="separate"/>
            </w:r>
            <w:r w:rsidR="00205E51">
              <w:rPr>
                <w:noProof/>
                <w:webHidden/>
              </w:rPr>
              <w:t>7</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29" w:history="1">
            <w:r w:rsidR="00985E6E" w:rsidRPr="006C6399">
              <w:rPr>
                <w:rStyle w:val="Hipervnculo"/>
                <w:noProof/>
              </w:rPr>
              <w:t>2.3.3</w:t>
            </w:r>
            <w:r w:rsidR="00985E6E">
              <w:rPr>
                <w:rFonts w:asciiTheme="minorHAnsi" w:hAnsiTheme="minorHAnsi" w:cstheme="minorBidi"/>
                <w:noProof/>
              </w:rPr>
              <w:tab/>
            </w:r>
            <w:r w:rsidR="00985E6E" w:rsidRPr="006C6399">
              <w:rPr>
                <w:rStyle w:val="Hipervnculo"/>
                <w:noProof/>
              </w:rPr>
              <w:t>Seguridad ciudadana</w:t>
            </w:r>
            <w:r w:rsidR="00985E6E">
              <w:rPr>
                <w:noProof/>
                <w:webHidden/>
              </w:rPr>
              <w:tab/>
            </w:r>
            <w:r w:rsidR="00985E6E">
              <w:rPr>
                <w:noProof/>
                <w:webHidden/>
              </w:rPr>
              <w:fldChar w:fldCharType="begin"/>
            </w:r>
            <w:r w:rsidR="00985E6E">
              <w:rPr>
                <w:noProof/>
                <w:webHidden/>
              </w:rPr>
              <w:instrText xml:space="preserve"> PAGEREF _Toc19527429 \h </w:instrText>
            </w:r>
            <w:r w:rsidR="00985E6E">
              <w:rPr>
                <w:noProof/>
                <w:webHidden/>
              </w:rPr>
            </w:r>
            <w:r w:rsidR="00985E6E">
              <w:rPr>
                <w:noProof/>
                <w:webHidden/>
              </w:rPr>
              <w:fldChar w:fldCharType="separate"/>
            </w:r>
            <w:r w:rsidR="00205E51">
              <w:rPr>
                <w:noProof/>
                <w:webHidden/>
              </w:rPr>
              <w:t>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0" w:history="1">
            <w:r w:rsidR="00985E6E" w:rsidRPr="006C6399">
              <w:rPr>
                <w:rStyle w:val="Hipervnculo"/>
                <w:noProof/>
              </w:rPr>
              <w:t>2.3.4</w:t>
            </w:r>
            <w:r w:rsidR="00985E6E">
              <w:rPr>
                <w:rFonts w:asciiTheme="minorHAnsi" w:hAnsiTheme="minorHAnsi" w:cstheme="minorBidi"/>
                <w:noProof/>
              </w:rPr>
              <w:tab/>
            </w:r>
            <w:r w:rsidR="00985E6E" w:rsidRPr="006C6399">
              <w:rPr>
                <w:rStyle w:val="Hipervnculo"/>
                <w:noProof/>
              </w:rPr>
              <w:t>Para el 2019, se ha disminuido la tasa de delitos cometidos contra el patrimonio de las personas en 7 puntos (De 97 en 2015 a 90 en 2019).</w:t>
            </w:r>
            <w:r w:rsidR="00985E6E">
              <w:rPr>
                <w:noProof/>
                <w:webHidden/>
              </w:rPr>
              <w:tab/>
            </w:r>
            <w:r w:rsidR="00985E6E">
              <w:rPr>
                <w:noProof/>
                <w:webHidden/>
              </w:rPr>
              <w:fldChar w:fldCharType="begin"/>
            </w:r>
            <w:r w:rsidR="00985E6E">
              <w:rPr>
                <w:noProof/>
                <w:webHidden/>
              </w:rPr>
              <w:instrText xml:space="preserve"> PAGEREF _Toc19527430 \h </w:instrText>
            </w:r>
            <w:r w:rsidR="00985E6E">
              <w:rPr>
                <w:noProof/>
                <w:webHidden/>
              </w:rPr>
            </w:r>
            <w:r w:rsidR="00985E6E">
              <w:rPr>
                <w:noProof/>
                <w:webHidden/>
              </w:rPr>
              <w:fldChar w:fldCharType="separate"/>
            </w:r>
            <w:r w:rsidR="00205E51">
              <w:rPr>
                <w:noProof/>
                <w:webHidden/>
              </w:rPr>
              <w:t>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1" w:history="1">
            <w:r w:rsidR="00985E6E" w:rsidRPr="006C6399">
              <w:rPr>
                <w:rStyle w:val="Hipervnculo"/>
                <w:noProof/>
              </w:rPr>
              <w:t>2.3.5</w:t>
            </w:r>
            <w:r w:rsidR="00985E6E">
              <w:rPr>
                <w:rFonts w:asciiTheme="minorHAnsi" w:hAnsiTheme="minorHAnsi" w:cstheme="minorBidi"/>
                <w:noProof/>
              </w:rPr>
              <w:tab/>
            </w:r>
            <w:r w:rsidR="00985E6E" w:rsidRPr="006C6399">
              <w:rPr>
                <w:rStyle w:val="Hipervnculo"/>
                <w:noProof/>
              </w:rPr>
              <w:t>Para el 2019, se ha disminuido la tasa de homicidios en 6 puntos (De 29.5 en 2015 a 23.5 en 2019)</w:t>
            </w:r>
            <w:r w:rsidR="00985E6E">
              <w:rPr>
                <w:noProof/>
                <w:webHidden/>
              </w:rPr>
              <w:tab/>
            </w:r>
            <w:r w:rsidR="00985E6E">
              <w:rPr>
                <w:noProof/>
                <w:webHidden/>
              </w:rPr>
              <w:fldChar w:fldCharType="begin"/>
            </w:r>
            <w:r w:rsidR="00985E6E">
              <w:rPr>
                <w:noProof/>
                <w:webHidden/>
              </w:rPr>
              <w:instrText xml:space="preserve"> PAGEREF _Toc19527431 \h </w:instrText>
            </w:r>
            <w:r w:rsidR="00985E6E">
              <w:rPr>
                <w:noProof/>
                <w:webHidden/>
              </w:rPr>
            </w:r>
            <w:r w:rsidR="00985E6E">
              <w:rPr>
                <w:noProof/>
                <w:webHidden/>
              </w:rPr>
              <w:fldChar w:fldCharType="separate"/>
            </w:r>
            <w:r w:rsidR="00205E51">
              <w:rPr>
                <w:noProof/>
                <w:webHidden/>
              </w:rPr>
              <w:t>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2" w:history="1">
            <w:r w:rsidR="00985E6E" w:rsidRPr="006C6399">
              <w:rPr>
                <w:rStyle w:val="Hipervnculo"/>
                <w:noProof/>
              </w:rPr>
              <w:t>2.3.6</w:t>
            </w:r>
            <w:r w:rsidR="00985E6E">
              <w:rPr>
                <w:rFonts w:asciiTheme="minorHAnsi" w:hAnsiTheme="minorHAnsi" w:cstheme="minorBidi"/>
                <w:noProof/>
              </w:rPr>
              <w:tab/>
            </w:r>
            <w:r w:rsidR="00985E6E" w:rsidRPr="006C6399">
              <w:rPr>
                <w:rStyle w:val="Hipervnculo"/>
                <w:noProof/>
              </w:rPr>
              <w:t>Ambiente y recursos naturales</w:t>
            </w:r>
            <w:r w:rsidR="00985E6E">
              <w:rPr>
                <w:noProof/>
                <w:webHidden/>
              </w:rPr>
              <w:tab/>
            </w:r>
            <w:r w:rsidR="00985E6E">
              <w:rPr>
                <w:noProof/>
                <w:webHidden/>
              </w:rPr>
              <w:fldChar w:fldCharType="begin"/>
            </w:r>
            <w:r w:rsidR="00985E6E">
              <w:rPr>
                <w:noProof/>
                <w:webHidden/>
              </w:rPr>
              <w:instrText xml:space="preserve"> PAGEREF _Toc19527432 \h </w:instrText>
            </w:r>
            <w:r w:rsidR="00985E6E">
              <w:rPr>
                <w:noProof/>
                <w:webHidden/>
              </w:rPr>
            </w:r>
            <w:r w:rsidR="00985E6E">
              <w:rPr>
                <w:noProof/>
                <w:webHidden/>
              </w:rPr>
              <w:fldChar w:fldCharType="separate"/>
            </w:r>
            <w:r w:rsidR="00205E51">
              <w:rPr>
                <w:noProof/>
                <w:webHidden/>
              </w:rPr>
              <w:t>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3" w:history="1">
            <w:r w:rsidR="00985E6E" w:rsidRPr="006C6399">
              <w:rPr>
                <w:rStyle w:val="Hipervnculo"/>
                <w:noProof/>
              </w:rPr>
              <w:t>2.3.7</w:t>
            </w:r>
            <w:r w:rsidR="00985E6E">
              <w:rPr>
                <w:rFonts w:asciiTheme="minorHAnsi" w:hAnsiTheme="minorHAnsi" w:cstheme="minorBidi"/>
                <w:noProof/>
              </w:rPr>
              <w:tab/>
            </w:r>
            <w:r w:rsidR="00985E6E" w:rsidRPr="006C6399">
              <w:rPr>
                <w:rStyle w:val="Hipervnculo"/>
                <w:noProof/>
              </w:rPr>
              <w:t>Para el 2019, se ha mantenido la cobertura forestal del territorio nacional en 33.7 %.</w:t>
            </w:r>
            <w:r w:rsidR="00985E6E">
              <w:rPr>
                <w:noProof/>
                <w:webHidden/>
              </w:rPr>
              <w:tab/>
            </w:r>
            <w:r w:rsidR="00985E6E">
              <w:rPr>
                <w:noProof/>
                <w:webHidden/>
              </w:rPr>
              <w:fldChar w:fldCharType="begin"/>
            </w:r>
            <w:r w:rsidR="00985E6E">
              <w:rPr>
                <w:noProof/>
                <w:webHidden/>
              </w:rPr>
              <w:instrText xml:space="preserve"> PAGEREF _Toc19527433 \h </w:instrText>
            </w:r>
            <w:r w:rsidR="00985E6E">
              <w:rPr>
                <w:noProof/>
                <w:webHidden/>
              </w:rPr>
            </w:r>
            <w:r w:rsidR="00985E6E">
              <w:rPr>
                <w:noProof/>
                <w:webHidden/>
              </w:rPr>
              <w:fldChar w:fldCharType="separate"/>
            </w:r>
            <w:r w:rsidR="00205E51">
              <w:rPr>
                <w:noProof/>
                <w:webHidden/>
              </w:rPr>
              <w:t>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4" w:history="1">
            <w:r w:rsidR="00985E6E" w:rsidRPr="006C6399">
              <w:rPr>
                <w:rStyle w:val="Hipervnculo"/>
                <w:noProof/>
              </w:rPr>
              <w:t>2.3.8</w:t>
            </w:r>
            <w:r w:rsidR="00985E6E">
              <w:rPr>
                <w:rFonts w:asciiTheme="minorHAnsi" w:hAnsiTheme="minorHAnsi" w:cstheme="minorBidi"/>
                <w:noProof/>
              </w:rPr>
              <w:tab/>
            </w:r>
            <w:r w:rsidR="00985E6E" w:rsidRPr="006C6399">
              <w:rPr>
                <w:rStyle w:val="Hipervnculo"/>
                <w:noProof/>
              </w:rPr>
              <w:t>Para el 2019, se ha incrementado en el país la capacidad de resiliencia y adaptación al cambio climático</w:t>
            </w:r>
            <w:r w:rsidR="00985E6E">
              <w:rPr>
                <w:noProof/>
                <w:webHidden/>
              </w:rPr>
              <w:tab/>
            </w:r>
            <w:r w:rsidR="00985E6E">
              <w:rPr>
                <w:noProof/>
                <w:webHidden/>
              </w:rPr>
              <w:fldChar w:fldCharType="begin"/>
            </w:r>
            <w:r w:rsidR="00985E6E">
              <w:rPr>
                <w:noProof/>
                <w:webHidden/>
              </w:rPr>
              <w:instrText xml:space="preserve"> PAGEREF _Toc19527434 \h </w:instrText>
            </w:r>
            <w:r w:rsidR="00985E6E">
              <w:rPr>
                <w:noProof/>
                <w:webHidden/>
              </w:rPr>
            </w:r>
            <w:r w:rsidR="00985E6E">
              <w:rPr>
                <w:noProof/>
                <w:webHidden/>
              </w:rPr>
              <w:fldChar w:fldCharType="separate"/>
            </w:r>
            <w:r w:rsidR="00205E51">
              <w:rPr>
                <w:noProof/>
                <w:webHidden/>
              </w:rPr>
              <w:t>10</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35" w:history="1">
            <w:r w:rsidR="00985E6E" w:rsidRPr="006C6399">
              <w:rPr>
                <w:rStyle w:val="Hipervnculo"/>
                <w:noProof/>
              </w:rPr>
              <w:t>2.3.9</w:t>
            </w:r>
            <w:r w:rsidR="00985E6E">
              <w:rPr>
                <w:rFonts w:asciiTheme="minorHAnsi" w:hAnsiTheme="minorHAnsi" w:cstheme="minorBidi"/>
                <w:noProof/>
              </w:rPr>
              <w:tab/>
            </w:r>
            <w:r w:rsidR="00985E6E" w:rsidRPr="006C6399">
              <w:rPr>
                <w:rStyle w:val="Hipervnculo"/>
                <w:noProof/>
              </w:rPr>
              <w:t>Para el 2019, se ha incrementado la participación de la energía renovable en la matriz energética en 5 puntos porcentuales (De 64.94% en 2014 a 69.4% en 2019).</w:t>
            </w:r>
            <w:r w:rsidR="00985E6E">
              <w:rPr>
                <w:noProof/>
                <w:webHidden/>
              </w:rPr>
              <w:tab/>
            </w:r>
            <w:r w:rsidR="00985E6E">
              <w:rPr>
                <w:noProof/>
                <w:webHidden/>
              </w:rPr>
              <w:fldChar w:fldCharType="begin"/>
            </w:r>
            <w:r w:rsidR="00985E6E">
              <w:rPr>
                <w:noProof/>
                <w:webHidden/>
              </w:rPr>
              <w:instrText xml:space="preserve"> PAGEREF _Toc19527435 \h </w:instrText>
            </w:r>
            <w:r w:rsidR="00985E6E">
              <w:rPr>
                <w:noProof/>
                <w:webHidden/>
              </w:rPr>
            </w:r>
            <w:r w:rsidR="00985E6E">
              <w:rPr>
                <w:noProof/>
                <w:webHidden/>
              </w:rPr>
              <w:fldChar w:fldCharType="separate"/>
            </w:r>
            <w:r w:rsidR="00205E51">
              <w:rPr>
                <w:noProof/>
                <w:webHidden/>
              </w:rPr>
              <w:t>10</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36" w:history="1">
            <w:r w:rsidR="00985E6E" w:rsidRPr="006C6399">
              <w:rPr>
                <w:rStyle w:val="Hipervnculo"/>
                <w:rFonts w:eastAsia="Times New Roman"/>
                <w:noProof/>
                <w:lang w:val="es-ES" w:eastAsia="es-ES"/>
              </w:rPr>
              <w:t>3</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Inversión institucional y territorial al cierre del II Cuatrimestre</w:t>
            </w:r>
            <w:r w:rsidR="00985E6E">
              <w:rPr>
                <w:noProof/>
                <w:webHidden/>
              </w:rPr>
              <w:tab/>
            </w:r>
            <w:r w:rsidR="00985E6E">
              <w:rPr>
                <w:noProof/>
                <w:webHidden/>
              </w:rPr>
              <w:fldChar w:fldCharType="begin"/>
            </w:r>
            <w:r w:rsidR="00985E6E">
              <w:rPr>
                <w:noProof/>
                <w:webHidden/>
              </w:rPr>
              <w:instrText xml:space="preserve"> PAGEREF _Toc19527436 \h </w:instrText>
            </w:r>
            <w:r w:rsidR="00985E6E">
              <w:rPr>
                <w:noProof/>
                <w:webHidden/>
              </w:rPr>
            </w:r>
            <w:r w:rsidR="00985E6E">
              <w:rPr>
                <w:noProof/>
                <w:webHidden/>
              </w:rPr>
              <w:fldChar w:fldCharType="separate"/>
            </w:r>
            <w:r w:rsidR="00205E51">
              <w:rPr>
                <w:noProof/>
                <w:webHidden/>
              </w:rPr>
              <w:t>12</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37" w:history="1">
            <w:r w:rsidR="00985E6E" w:rsidRPr="006C6399">
              <w:rPr>
                <w:rStyle w:val="Hipervnculo"/>
                <w:noProof/>
              </w:rPr>
              <w:t>3.1</w:t>
            </w:r>
            <w:r w:rsidR="00985E6E">
              <w:rPr>
                <w:rFonts w:asciiTheme="minorHAnsi" w:hAnsiTheme="minorHAnsi" w:cstheme="minorBidi"/>
                <w:noProof/>
              </w:rPr>
              <w:tab/>
            </w:r>
            <w:r w:rsidR="00985E6E" w:rsidRPr="006C6399">
              <w:rPr>
                <w:rStyle w:val="Hipervnculo"/>
                <w:noProof/>
              </w:rPr>
              <w:t>Estructura del Presupuesto del Gasto de Inversión Pública, 2019</w:t>
            </w:r>
            <w:r w:rsidR="00985E6E">
              <w:rPr>
                <w:noProof/>
                <w:webHidden/>
              </w:rPr>
              <w:tab/>
            </w:r>
            <w:r w:rsidR="00985E6E">
              <w:rPr>
                <w:noProof/>
                <w:webHidden/>
              </w:rPr>
              <w:fldChar w:fldCharType="begin"/>
            </w:r>
            <w:r w:rsidR="00985E6E">
              <w:rPr>
                <w:noProof/>
                <w:webHidden/>
              </w:rPr>
              <w:instrText xml:space="preserve"> PAGEREF _Toc19527437 \h </w:instrText>
            </w:r>
            <w:r w:rsidR="00985E6E">
              <w:rPr>
                <w:noProof/>
                <w:webHidden/>
              </w:rPr>
            </w:r>
            <w:r w:rsidR="00985E6E">
              <w:rPr>
                <w:noProof/>
                <w:webHidden/>
              </w:rPr>
              <w:fldChar w:fldCharType="separate"/>
            </w:r>
            <w:r w:rsidR="00205E51">
              <w:rPr>
                <w:noProof/>
                <w:webHidden/>
              </w:rPr>
              <w:t>12</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38" w:history="1">
            <w:r w:rsidR="00985E6E" w:rsidRPr="006C6399">
              <w:rPr>
                <w:rStyle w:val="Hipervnculo"/>
                <w:noProof/>
              </w:rPr>
              <w:t>3.2</w:t>
            </w:r>
            <w:r w:rsidR="00985E6E">
              <w:rPr>
                <w:rFonts w:asciiTheme="minorHAnsi" w:hAnsiTheme="minorHAnsi" w:cstheme="minorBidi"/>
                <w:noProof/>
              </w:rPr>
              <w:tab/>
            </w:r>
            <w:r w:rsidR="00985E6E" w:rsidRPr="006C6399">
              <w:rPr>
                <w:rStyle w:val="Hipervnculo"/>
                <w:noProof/>
              </w:rPr>
              <w:t>Distribución de la inversión pública de acuerdo con la Política General de Gobierno</w:t>
            </w:r>
            <w:r w:rsidR="00985E6E">
              <w:rPr>
                <w:noProof/>
                <w:webHidden/>
              </w:rPr>
              <w:tab/>
            </w:r>
            <w:r w:rsidR="00985E6E">
              <w:rPr>
                <w:noProof/>
                <w:webHidden/>
              </w:rPr>
              <w:fldChar w:fldCharType="begin"/>
            </w:r>
            <w:r w:rsidR="00985E6E">
              <w:rPr>
                <w:noProof/>
                <w:webHidden/>
              </w:rPr>
              <w:instrText xml:space="preserve"> PAGEREF _Toc19527438 \h </w:instrText>
            </w:r>
            <w:r w:rsidR="00985E6E">
              <w:rPr>
                <w:noProof/>
                <w:webHidden/>
              </w:rPr>
            </w:r>
            <w:r w:rsidR="00985E6E">
              <w:rPr>
                <w:noProof/>
                <w:webHidden/>
              </w:rPr>
              <w:fldChar w:fldCharType="separate"/>
            </w:r>
            <w:r w:rsidR="00205E51">
              <w:rPr>
                <w:noProof/>
                <w:webHidden/>
              </w:rPr>
              <w:t>13</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39" w:history="1">
            <w:r w:rsidR="00985E6E" w:rsidRPr="006C6399">
              <w:rPr>
                <w:rStyle w:val="Hipervnculo"/>
                <w:noProof/>
              </w:rPr>
              <w:t>3.3</w:t>
            </w:r>
            <w:r w:rsidR="00985E6E">
              <w:rPr>
                <w:rFonts w:asciiTheme="minorHAnsi" w:hAnsiTheme="minorHAnsi" w:cstheme="minorBidi"/>
                <w:noProof/>
              </w:rPr>
              <w:tab/>
            </w:r>
            <w:r w:rsidR="00985E6E" w:rsidRPr="006C6399">
              <w:rPr>
                <w:rStyle w:val="Hipervnculo"/>
                <w:noProof/>
              </w:rPr>
              <w:t>Distribución de la Inversión asignada y ejecutada por nivel de decisión</w:t>
            </w:r>
            <w:r w:rsidR="00985E6E">
              <w:rPr>
                <w:noProof/>
                <w:webHidden/>
              </w:rPr>
              <w:tab/>
            </w:r>
            <w:r w:rsidR="00985E6E">
              <w:rPr>
                <w:noProof/>
                <w:webHidden/>
              </w:rPr>
              <w:fldChar w:fldCharType="begin"/>
            </w:r>
            <w:r w:rsidR="00985E6E">
              <w:rPr>
                <w:noProof/>
                <w:webHidden/>
              </w:rPr>
              <w:instrText xml:space="preserve"> PAGEREF _Toc19527439 \h </w:instrText>
            </w:r>
            <w:r w:rsidR="00985E6E">
              <w:rPr>
                <w:noProof/>
                <w:webHidden/>
              </w:rPr>
            </w:r>
            <w:r w:rsidR="00985E6E">
              <w:rPr>
                <w:noProof/>
                <w:webHidden/>
              </w:rPr>
              <w:fldChar w:fldCharType="separate"/>
            </w:r>
            <w:r w:rsidR="00205E51">
              <w:rPr>
                <w:noProof/>
                <w:webHidden/>
              </w:rPr>
              <w:t>14</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40" w:history="1">
            <w:r w:rsidR="00985E6E" w:rsidRPr="006C6399">
              <w:rPr>
                <w:rStyle w:val="Hipervnculo"/>
                <w:noProof/>
              </w:rPr>
              <w:t>3.3.1</w:t>
            </w:r>
            <w:r w:rsidR="00985E6E">
              <w:rPr>
                <w:rFonts w:asciiTheme="minorHAnsi" w:hAnsiTheme="minorHAnsi" w:cstheme="minorBidi"/>
                <w:noProof/>
              </w:rPr>
              <w:tab/>
            </w:r>
            <w:r w:rsidR="00985E6E" w:rsidRPr="006C6399">
              <w:rPr>
                <w:rStyle w:val="Hipervnculo"/>
                <w:noProof/>
              </w:rPr>
              <w:t>Inversión pública asignada y ejecutada por las instituciones del Gobierno Central y Empresas Públicas no Financieras Nacionales</w:t>
            </w:r>
            <w:r w:rsidR="00985E6E">
              <w:rPr>
                <w:noProof/>
                <w:webHidden/>
              </w:rPr>
              <w:tab/>
            </w:r>
            <w:r w:rsidR="00985E6E">
              <w:rPr>
                <w:noProof/>
                <w:webHidden/>
              </w:rPr>
              <w:fldChar w:fldCharType="begin"/>
            </w:r>
            <w:r w:rsidR="00985E6E">
              <w:rPr>
                <w:noProof/>
                <w:webHidden/>
              </w:rPr>
              <w:instrText xml:space="preserve"> PAGEREF _Toc19527440 \h </w:instrText>
            </w:r>
            <w:r w:rsidR="00985E6E">
              <w:rPr>
                <w:noProof/>
                <w:webHidden/>
              </w:rPr>
            </w:r>
            <w:r w:rsidR="00985E6E">
              <w:rPr>
                <w:noProof/>
                <w:webHidden/>
              </w:rPr>
              <w:fldChar w:fldCharType="separate"/>
            </w:r>
            <w:r w:rsidR="00205E51">
              <w:rPr>
                <w:noProof/>
                <w:webHidden/>
              </w:rPr>
              <w:t>15</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1" w:history="1">
            <w:r w:rsidR="00985E6E" w:rsidRPr="006C6399">
              <w:rPr>
                <w:rStyle w:val="Hipervnculo"/>
                <w:noProof/>
              </w:rPr>
              <w:t>3.4</w:t>
            </w:r>
            <w:r w:rsidR="00985E6E">
              <w:rPr>
                <w:rFonts w:asciiTheme="minorHAnsi" w:hAnsiTheme="minorHAnsi" w:cstheme="minorBidi"/>
                <w:noProof/>
              </w:rPr>
              <w:tab/>
            </w:r>
            <w:r w:rsidR="00985E6E" w:rsidRPr="006C6399">
              <w:rPr>
                <w:rStyle w:val="Hipervnculo"/>
                <w:noProof/>
              </w:rPr>
              <w:t>Inversión pública asignada y ejecutada por los Consejos Departamentales de Desarrollo</w:t>
            </w:r>
            <w:r w:rsidR="00985E6E">
              <w:rPr>
                <w:noProof/>
                <w:webHidden/>
              </w:rPr>
              <w:tab/>
            </w:r>
            <w:r w:rsidR="00985E6E">
              <w:rPr>
                <w:noProof/>
                <w:webHidden/>
              </w:rPr>
              <w:fldChar w:fldCharType="begin"/>
            </w:r>
            <w:r w:rsidR="00985E6E">
              <w:rPr>
                <w:noProof/>
                <w:webHidden/>
              </w:rPr>
              <w:instrText xml:space="preserve"> PAGEREF _Toc19527441 \h </w:instrText>
            </w:r>
            <w:r w:rsidR="00985E6E">
              <w:rPr>
                <w:noProof/>
                <w:webHidden/>
              </w:rPr>
            </w:r>
            <w:r w:rsidR="00985E6E">
              <w:rPr>
                <w:noProof/>
                <w:webHidden/>
              </w:rPr>
              <w:fldChar w:fldCharType="separate"/>
            </w:r>
            <w:r w:rsidR="00205E51">
              <w:rPr>
                <w:noProof/>
                <w:webHidden/>
              </w:rPr>
              <w:t>16</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2" w:history="1">
            <w:r w:rsidR="00985E6E" w:rsidRPr="006C6399">
              <w:rPr>
                <w:rStyle w:val="Hipervnculo"/>
                <w:noProof/>
              </w:rPr>
              <w:t>3.5</w:t>
            </w:r>
            <w:r w:rsidR="00985E6E">
              <w:rPr>
                <w:rFonts w:asciiTheme="minorHAnsi" w:hAnsiTheme="minorHAnsi" w:cstheme="minorBidi"/>
                <w:noProof/>
              </w:rPr>
              <w:tab/>
            </w:r>
            <w:r w:rsidR="00985E6E" w:rsidRPr="006C6399">
              <w:rPr>
                <w:rStyle w:val="Hipervnculo"/>
                <w:noProof/>
              </w:rPr>
              <w:t>Inversión pública asignada y ejecutada por los Gobiernos Locales</w:t>
            </w:r>
            <w:r w:rsidR="00985E6E">
              <w:rPr>
                <w:noProof/>
                <w:webHidden/>
              </w:rPr>
              <w:tab/>
            </w:r>
            <w:r w:rsidR="00985E6E">
              <w:rPr>
                <w:noProof/>
                <w:webHidden/>
              </w:rPr>
              <w:fldChar w:fldCharType="begin"/>
            </w:r>
            <w:r w:rsidR="00985E6E">
              <w:rPr>
                <w:noProof/>
                <w:webHidden/>
              </w:rPr>
              <w:instrText xml:space="preserve"> PAGEREF _Toc19527442 \h </w:instrText>
            </w:r>
            <w:r w:rsidR="00985E6E">
              <w:rPr>
                <w:noProof/>
                <w:webHidden/>
              </w:rPr>
            </w:r>
            <w:r w:rsidR="00985E6E">
              <w:rPr>
                <w:noProof/>
                <w:webHidden/>
              </w:rPr>
              <w:fldChar w:fldCharType="separate"/>
            </w:r>
            <w:r w:rsidR="00205E51">
              <w:rPr>
                <w:noProof/>
                <w:webHidden/>
              </w:rPr>
              <w:t>17</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43" w:history="1">
            <w:r w:rsidR="00985E6E" w:rsidRPr="006C6399">
              <w:rPr>
                <w:rStyle w:val="Hipervnculo"/>
                <w:noProof/>
                <w:lang w:val="es-ES" w:eastAsia="es-ES"/>
              </w:rPr>
              <w:t>Conclusiones</w:t>
            </w:r>
            <w:r w:rsidR="00985E6E">
              <w:rPr>
                <w:noProof/>
                <w:webHidden/>
              </w:rPr>
              <w:tab/>
            </w:r>
            <w:r w:rsidR="00985E6E">
              <w:rPr>
                <w:noProof/>
                <w:webHidden/>
              </w:rPr>
              <w:fldChar w:fldCharType="begin"/>
            </w:r>
            <w:r w:rsidR="00985E6E">
              <w:rPr>
                <w:noProof/>
                <w:webHidden/>
              </w:rPr>
              <w:instrText xml:space="preserve"> PAGEREF _Toc19527443 \h </w:instrText>
            </w:r>
            <w:r w:rsidR="00985E6E">
              <w:rPr>
                <w:noProof/>
                <w:webHidden/>
              </w:rPr>
            </w:r>
            <w:r w:rsidR="00985E6E">
              <w:rPr>
                <w:noProof/>
                <w:webHidden/>
              </w:rPr>
              <w:fldChar w:fldCharType="separate"/>
            </w:r>
            <w:r w:rsidR="00205E51">
              <w:rPr>
                <w:noProof/>
                <w:webHidden/>
              </w:rPr>
              <w:t>92</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44" w:history="1">
            <w:r w:rsidR="00985E6E" w:rsidRPr="006C6399">
              <w:rPr>
                <w:rStyle w:val="Hipervnculo"/>
                <w:rFonts w:eastAsia="Times New Roman"/>
                <w:noProof/>
                <w:lang w:val="es-ES" w:eastAsia="es-ES"/>
              </w:rPr>
              <w:t>4</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Cooperación Internacional no reembolsable al cierre del II Cuatrimestre</w:t>
            </w:r>
            <w:r w:rsidR="00985E6E">
              <w:rPr>
                <w:noProof/>
                <w:webHidden/>
              </w:rPr>
              <w:tab/>
            </w:r>
            <w:r w:rsidR="00985E6E">
              <w:rPr>
                <w:noProof/>
                <w:webHidden/>
              </w:rPr>
              <w:fldChar w:fldCharType="begin"/>
            </w:r>
            <w:r w:rsidR="00985E6E">
              <w:rPr>
                <w:noProof/>
                <w:webHidden/>
              </w:rPr>
              <w:instrText xml:space="preserve"> PAGEREF _Toc19527444 \h </w:instrText>
            </w:r>
            <w:r w:rsidR="00985E6E">
              <w:rPr>
                <w:noProof/>
                <w:webHidden/>
              </w:rPr>
            </w:r>
            <w:r w:rsidR="00985E6E">
              <w:rPr>
                <w:noProof/>
                <w:webHidden/>
              </w:rPr>
              <w:fldChar w:fldCharType="separate"/>
            </w:r>
            <w:r w:rsidR="00205E51">
              <w:rPr>
                <w:noProof/>
                <w:webHidden/>
              </w:rPr>
              <w:t>19</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5" w:history="1">
            <w:r w:rsidR="00985E6E" w:rsidRPr="006C6399">
              <w:rPr>
                <w:rStyle w:val="Hipervnculo"/>
                <w:noProof/>
                <w:lang w:val="es-ES"/>
              </w:rPr>
              <w:t>4.1</w:t>
            </w:r>
            <w:r w:rsidR="00985E6E">
              <w:rPr>
                <w:rFonts w:asciiTheme="minorHAnsi" w:hAnsiTheme="minorHAnsi" w:cstheme="minorBidi"/>
                <w:noProof/>
              </w:rPr>
              <w:tab/>
            </w:r>
            <w:r w:rsidR="00985E6E" w:rsidRPr="006C6399">
              <w:rPr>
                <w:rStyle w:val="Hipervnculo"/>
                <w:noProof/>
                <w:lang w:val="es-ES"/>
              </w:rPr>
              <w:t>Distribución del presupuesto de donaciones</w:t>
            </w:r>
            <w:r w:rsidR="00985E6E">
              <w:rPr>
                <w:noProof/>
                <w:webHidden/>
              </w:rPr>
              <w:tab/>
            </w:r>
            <w:r w:rsidR="00985E6E">
              <w:rPr>
                <w:noProof/>
                <w:webHidden/>
              </w:rPr>
              <w:fldChar w:fldCharType="begin"/>
            </w:r>
            <w:r w:rsidR="00985E6E">
              <w:rPr>
                <w:noProof/>
                <w:webHidden/>
              </w:rPr>
              <w:instrText xml:space="preserve"> PAGEREF _Toc19527445 \h </w:instrText>
            </w:r>
            <w:r w:rsidR="00985E6E">
              <w:rPr>
                <w:noProof/>
                <w:webHidden/>
              </w:rPr>
            </w:r>
            <w:r w:rsidR="00985E6E">
              <w:rPr>
                <w:noProof/>
                <w:webHidden/>
              </w:rPr>
              <w:fldChar w:fldCharType="separate"/>
            </w:r>
            <w:r w:rsidR="00205E51">
              <w:rPr>
                <w:noProof/>
                <w:webHidden/>
              </w:rPr>
              <w:t>19</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6" w:history="1">
            <w:r w:rsidR="00985E6E" w:rsidRPr="006C6399">
              <w:rPr>
                <w:rStyle w:val="Hipervnculo"/>
                <w:noProof/>
                <w:lang w:val="es-ES"/>
              </w:rPr>
              <w:t>4.2</w:t>
            </w:r>
            <w:r w:rsidR="00985E6E">
              <w:rPr>
                <w:rFonts w:asciiTheme="minorHAnsi" w:hAnsiTheme="minorHAnsi" w:cstheme="minorBidi"/>
                <w:noProof/>
              </w:rPr>
              <w:tab/>
            </w:r>
            <w:r w:rsidR="00985E6E" w:rsidRPr="006C6399">
              <w:rPr>
                <w:rStyle w:val="Hipervnculo"/>
                <w:noProof/>
                <w:lang w:val="es-ES"/>
              </w:rPr>
              <w:t>Ejecución de la Administración Central</w:t>
            </w:r>
            <w:r w:rsidR="00985E6E">
              <w:rPr>
                <w:noProof/>
                <w:webHidden/>
              </w:rPr>
              <w:tab/>
            </w:r>
            <w:r w:rsidR="00985E6E">
              <w:rPr>
                <w:noProof/>
                <w:webHidden/>
              </w:rPr>
              <w:fldChar w:fldCharType="begin"/>
            </w:r>
            <w:r w:rsidR="00985E6E">
              <w:rPr>
                <w:noProof/>
                <w:webHidden/>
              </w:rPr>
              <w:instrText xml:space="preserve"> PAGEREF _Toc19527446 \h </w:instrText>
            </w:r>
            <w:r w:rsidR="00985E6E">
              <w:rPr>
                <w:noProof/>
                <w:webHidden/>
              </w:rPr>
            </w:r>
            <w:r w:rsidR="00985E6E">
              <w:rPr>
                <w:noProof/>
                <w:webHidden/>
              </w:rPr>
              <w:fldChar w:fldCharType="separate"/>
            </w:r>
            <w:r w:rsidR="00205E51">
              <w:rPr>
                <w:noProof/>
                <w:webHidden/>
              </w:rPr>
              <w:t>20</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7" w:history="1">
            <w:r w:rsidR="00985E6E" w:rsidRPr="006C6399">
              <w:rPr>
                <w:rStyle w:val="Hipervnculo"/>
                <w:noProof/>
                <w:lang w:val="es-ES"/>
              </w:rPr>
              <w:t>4.3</w:t>
            </w:r>
            <w:r w:rsidR="00985E6E">
              <w:rPr>
                <w:rFonts w:asciiTheme="minorHAnsi" w:hAnsiTheme="minorHAnsi" w:cstheme="minorBidi"/>
                <w:noProof/>
              </w:rPr>
              <w:tab/>
            </w:r>
            <w:r w:rsidR="00985E6E" w:rsidRPr="006C6399">
              <w:rPr>
                <w:rStyle w:val="Hipervnculo"/>
                <w:noProof/>
                <w:lang w:val="es-ES"/>
              </w:rPr>
              <w:t>Comparación de la ejecución durante el período 2019</w:t>
            </w:r>
            <w:r w:rsidR="00985E6E">
              <w:rPr>
                <w:noProof/>
                <w:webHidden/>
              </w:rPr>
              <w:tab/>
            </w:r>
            <w:r w:rsidR="00985E6E">
              <w:rPr>
                <w:noProof/>
                <w:webHidden/>
              </w:rPr>
              <w:fldChar w:fldCharType="begin"/>
            </w:r>
            <w:r w:rsidR="00985E6E">
              <w:rPr>
                <w:noProof/>
                <w:webHidden/>
              </w:rPr>
              <w:instrText xml:space="preserve"> PAGEREF _Toc19527447 \h </w:instrText>
            </w:r>
            <w:r w:rsidR="00985E6E">
              <w:rPr>
                <w:noProof/>
                <w:webHidden/>
              </w:rPr>
            </w:r>
            <w:r w:rsidR="00985E6E">
              <w:rPr>
                <w:noProof/>
                <w:webHidden/>
              </w:rPr>
              <w:fldChar w:fldCharType="separate"/>
            </w:r>
            <w:r w:rsidR="00205E51">
              <w:rPr>
                <w:noProof/>
                <w:webHidden/>
              </w:rPr>
              <w:t>25</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48" w:history="1">
            <w:r w:rsidR="00985E6E" w:rsidRPr="006C6399">
              <w:rPr>
                <w:rStyle w:val="Hipervnculo"/>
                <w:noProof/>
                <w:lang w:val="es-ES"/>
              </w:rPr>
              <w:t>4.3.1</w:t>
            </w:r>
            <w:r w:rsidR="00985E6E">
              <w:rPr>
                <w:rFonts w:asciiTheme="minorHAnsi" w:hAnsiTheme="minorHAnsi" w:cstheme="minorBidi"/>
                <w:noProof/>
              </w:rPr>
              <w:tab/>
            </w:r>
            <w:r w:rsidR="00985E6E" w:rsidRPr="006C6399">
              <w:rPr>
                <w:rStyle w:val="Hipervnculo"/>
                <w:noProof/>
                <w:lang w:val="es-ES"/>
              </w:rPr>
              <w:t>Donaciones por fuente cooperante</w:t>
            </w:r>
            <w:r w:rsidR="00985E6E">
              <w:rPr>
                <w:noProof/>
                <w:webHidden/>
              </w:rPr>
              <w:tab/>
            </w:r>
            <w:r w:rsidR="00985E6E">
              <w:rPr>
                <w:noProof/>
                <w:webHidden/>
              </w:rPr>
              <w:fldChar w:fldCharType="begin"/>
            </w:r>
            <w:r w:rsidR="00985E6E">
              <w:rPr>
                <w:noProof/>
                <w:webHidden/>
              </w:rPr>
              <w:instrText xml:space="preserve"> PAGEREF _Toc19527448 \h </w:instrText>
            </w:r>
            <w:r w:rsidR="00985E6E">
              <w:rPr>
                <w:noProof/>
                <w:webHidden/>
              </w:rPr>
            </w:r>
            <w:r w:rsidR="00985E6E">
              <w:rPr>
                <w:noProof/>
                <w:webHidden/>
              </w:rPr>
              <w:fldChar w:fldCharType="separate"/>
            </w:r>
            <w:r w:rsidR="00205E51">
              <w:rPr>
                <w:noProof/>
                <w:webHidden/>
              </w:rPr>
              <w:t>26</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49" w:history="1">
            <w:r w:rsidR="00985E6E" w:rsidRPr="006C6399">
              <w:rPr>
                <w:rStyle w:val="Hipervnculo"/>
                <w:rFonts w:eastAsia="Times New Roman"/>
                <w:noProof/>
                <w:lang w:val="es-ES" w:eastAsia="es-ES"/>
              </w:rPr>
              <w:t>5</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Informe Institucional de Seguimiento de la Calidad del Gasto al cierre del II cuatrimestre</w:t>
            </w:r>
            <w:r w:rsidR="00985E6E">
              <w:rPr>
                <w:noProof/>
                <w:webHidden/>
              </w:rPr>
              <w:tab/>
            </w:r>
            <w:r w:rsidR="00985E6E">
              <w:rPr>
                <w:noProof/>
                <w:webHidden/>
              </w:rPr>
              <w:fldChar w:fldCharType="begin"/>
            </w:r>
            <w:r w:rsidR="00985E6E">
              <w:rPr>
                <w:noProof/>
                <w:webHidden/>
              </w:rPr>
              <w:instrText xml:space="preserve"> PAGEREF _Toc19527449 \h </w:instrText>
            </w:r>
            <w:r w:rsidR="00985E6E">
              <w:rPr>
                <w:noProof/>
                <w:webHidden/>
              </w:rPr>
            </w:r>
            <w:r w:rsidR="00985E6E">
              <w:rPr>
                <w:noProof/>
                <w:webHidden/>
              </w:rPr>
              <w:fldChar w:fldCharType="separate"/>
            </w:r>
            <w:r w:rsidR="00205E51">
              <w:rPr>
                <w:noProof/>
                <w:webHidden/>
              </w:rPr>
              <w:t>28</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50" w:history="1">
            <w:r w:rsidR="00985E6E" w:rsidRPr="006C6399">
              <w:rPr>
                <w:rStyle w:val="Hipervnculo"/>
                <w:noProof/>
                <w:lang w:val="es-ES"/>
              </w:rPr>
              <w:t>5.1</w:t>
            </w:r>
            <w:r w:rsidR="00985E6E">
              <w:rPr>
                <w:rFonts w:asciiTheme="minorHAnsi" w:hAnsiTheme="minorHAnsi" w:cstheme="minorBidi"/>
                <w:noProof/>
              </w:rPr>
              <w:tab/>
            </w:r>
            <w:r w:rsidR="00985E6E" w:rsidRPr="006C6399">
              <w:rPr>
                <w:rStyle w:val="Hipervnculo"/>
                <w:noProof/>
                <w:lang w:val="es-ES"/>
              </w:rPr>
              <w:t>Instituciones Centralizadas</w:t>
            </w:r>
            <w:r w:rsidR="00985E6E">
              <w:rPr>
                <w:noProof/>
                <w:webHidden/>
              </w:rPr>
              <w:tab/>
            </w:r>
            <w:r w:rsidR="00985E6E">
              <w:rPr>
                <w:noProof/>
                <w:webHidden/>
              </w:rPr>
              <w:fldChar w:fldCharType="begin"/>
            </w:r>
            <w:r w:rsidR="00985E6E">
              <w:rPr>
                <w:noProof/>
                <w:webHidden/>
              </w:rPr>
              <w:instrText xml:space="preserve"> PAGEREF _Toc19527450 \h </w:instrText>
            </w:r>
            <w:r w:rsidR="00985E6E">
              <w:rPr>
                <w:noProof/>
                <w:webHidden/>
              </w:rPr>
            </w:r>
            <w:r w:rsidR="00985E6E">
              <w:rPr>
                <w:noProof/>
                <w:webHidden/>
              </w:rPr>
              <w:fldChar w:fldCharType="separate"/>
            </w:r>
            <w:r w:rsidR="00205E51">
              <w:rPr>
                <w:noProof/>
                <w:webHidden/>
              </w:rPr>
              <w:t>28</w:t>
            </w:r>
            <w:r w:rsidR="00985E6E">
              <w:rPr>
                <w:noProof/>
                <w:webHidden/>
              </w:rPr>
              <w:fldChar w:fldCharType="end"/>
            </w:r>
          </w:hyperlink>
        </w:p>
        <w:p w:rsidR="00985E6E" w:rsidRDefault="00E94D43">
          <w:pPr>
            <w:pStyle w:val="TDC3"/>
            <w:rPr>
              <w:rFonts w:asciiTheme="minorHAnsi" w:hAnsiTheme="minorHAnsi" w:cstheme="minorBidi"/>
              <w:noProof/>
            </w:rPr>
          </w:pPr>
          <w:hyperlink w:anchor="_Toc19527451" w:history="1">
            <w:r w:rsidR="00985E6E" w:rsidRPr="006C6399">
              <w:rPr>
                <w:rStyle w:val="Hipervnculo"/>
                <w:noProof/>
              </w:rPr>
              <w:t>5.1.1 Ministerios</w:t>
            </w:r>
            <w:r w:rsidR="00985E6E">
              <w:rPr>
                <w:noProof/>
                <w:webHidden/>
              </w:rPr>
              <w:tab/>
            </w:r>
            <w:r w:rsidR="00985E6E">
              <w:rPr>
                <w:noProof/>
                <w:webHidden/>
              </w:rPr>
              <w:fldChar w:fldCharType="begin"/>
            </w:r>
            <w:r w:rsidR="00985E6E">
              <w:rPr>
                <w:noProof/>
                <w:webHidden/>
              </w:rPr>
              <w:instrText xml:space="preserve"> PAGEREF _Toc19527451 \h </w:instrText>
            </w:r>
            <w:r w:rsidR="00985E6E">
              <w:rPr>
                <w:noProof/>
                <w:webHidden/>
              </w:rPr>
            </w:r>
            <w:r w:rsidR="00985E6E">
              <w:rPr>
                <w:noProof/>
                <w:webHidden/>
              </w:rPr>
              <w:fldChar w:fldCharType="separate"/>
            </w:r>
            <w:r w:rsidR="00205E51">
              <w:rPr>
                <w:noProof/>
                <w:webHidden/>
              </w:rPr>
              <w:t>28</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52" w:history="1">
            <w:r w:rsidR="00985E6E" w:rsidRPr="006C6399">
              <w:rPr>
                <w:rStyle w:val="Hipervnculo"/>
                <w:noProof/>
                <w:lang w:val="es-ES"/>
              </w:rPr>
              <w:t>5.2</w:t>
            </w:r>
            <w:r w:rsidR="00985E6E">
              <w:rPr>
                <w:rFonts w:asciiTheme="minorHAnsi" w:hAnsiTheme="minorHAnsi" w:cstheme="minorBidi"/>
                <w:noProof/>
              </w:rPr>
              <w:tab/>
            </w:r>
            <w:r w:rsidR="00985E6E" w:rsidRPr="006C6399">
              <w:rPr>
                <w:rStyle w:val="Hipervnculo"/>
                <w:noProof/>
                <w:lang w:val="es-ES"/>
              </w:rPr>
              <w:t>Secretarias y otras instituciones centralizadas</w:t>
            </w:r>
            <w:r w:rsidR="00985E6E">
              <w:rPr>
                <w:noProof/>
                <w:webHidden/>
              </w:rPr>
              <w:tab/>
            </w:r>
            <w:r w:rsidR="00985E6E">
              <w:rPr>
                <w:noProof/>
                <w:webHidden/>
              </w:rPr>
              <w:fldChar w:fldCharType="begin"/>
            </w:r>
            <w:r w:rsidR="00985E6E">
              <w:rPr>
                <w:noProof/>
                <w:webHidden/>
              </w:rPr>
              <w:instrText xml:space="preserve"> PAGEREF _Toc19527452 \h </w:instrText>
            </w:r>
            <w:r w:rsidR="00985E6E">
              <w:rPr>
                <w:noProof/>
                <w:webHidden/>
              </w:rPr>
            </w:r>
            <w:r w:rsidR="00985E6E">
              <w:rPr>
                <w:noProof/>
                <w:webHidden/>
              </w:rPr>
              <w:fldChar w:fldCharType="separate"/>
            </w:r>
            <w:r w:rsidR="00205E51">
              <w:rPr>
                <w:noProof/>
                <w:webHidden/>
              </w:rPr>
              <w:t>53</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53" w:history="1">
            <w:r w:rsidR="00985E6E" w:rsidRPr="006C6399">
              <w:rPr>
                <w:rStyle w:val="Hipervnculo"/>
                <w:noProof/>
                <w:lang w:val="es-ES"/>
              </w:rPr>
              <w:t>5.3</w:t>
            </w:r>
            <w:r w:rsidR="00985E6E">
              <w:rPr>
                <w:rFonts w:asciiTheme="minorHAnsi" w:hAnsiTheme="minorHAnsi" w:cstheme="minorBidi"/>
                <w:noProof/>
              </w:rPr>
              <w:tab/>
            </w:r>
            <w:r w:rsidR="00985E6E" w:rsidRPr="006C6399">
              <w:rPr>
                <w:rStyle w:val="Hipervnculo"/>
                <w:noProof/>
                <w:lang w:val="es-ES"/>
              </w:rPr>
              <w:t>Entidades Descentralizadas</w:t>
            </w:r>
            <w:r w:rsidR="00985E6E">
              <w:rPr>
                <w:noProof/>
                <w:webHidden/>
              </w:rPr>
              <w:tab/>
            </w:r>
            <w:r w:rsidR="00985E6E">
              <w:rPr>
                <w:noProof/>
                <w:webHidden/>
              </w:rPr>
              <w:fldChar w:fldCharType="begin"/>
            </w:r>
            <w:r w:rsidR="00985E6E">
              <w:rPr>
                <w:noProof/>
                <w:webHidden/>
              </w:rPr>
              <w:instrText xml:space="preserve"> PAGEREF _Toc19527453 \h </w:instrText>
            </w:r>
            <w:r w:rsidR="00985E6E">
              <w:rPr>
                <w:noProof/>
                <w:webHidden/>
              </w:rPr>
            </w:r>
            <w:r w:rsidR="00985E6E">
              <w:rPr>
                <w:noProof/>
                <w:webHidden/>
              </w:rPr>
              <w:fldChar w:fldCharType="separate"/>
            </w:r>
            <w:r w:rsidR="00205E51">
              <w:rPr>
                <w:noProof/>
                <w:webHidden/>
              </w:rPr>
              <w:t>69</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54" w:history="1">
            <w:r w:rsidR="00985E6E" w:rsidRPr="006C6399">
              <w:rPr>
                <w:rStyle w:val="Hipervnculo"/>
                <w:noProof/>
                <w:lang w:val="es-ES"/>
              </w:rPr>
              <w:t>5.4</w:t>
            </w:r>
            <w:r w:rsidR="00985E6E">
              <w:rPr>
                <w:rFonts w:asciiTheme="minorHAnsi" w:hAnsiTheme="minorHAnsi" w:cstheme="minorBidi"/>
                <w:noProof/>
              </w:rPr>
              <w:tab/>
            </w:r>
            <w:r w:rsidR="00985E6E" w:rsidRPr="006C6399">
              <w:rPr>
                <w:rStyle w:val="Hipervnculo"/>
                <w:noProof/>
                <w:lang w:val="es-ES"/>
              </w:rPr>
              <w:t>Entidades Autónomas</w:t>
            </w:r>
            <w:r w:rsidR="00985E6E">
              <w:rPr>
                <w:noProof/>
                <w:webHidden/>
              </w:rPr>
              <w:tab/>
            </w:r>
            <w:r w:rsidR="00985E6E">
              <w:rPr>
                <w:noProof/>
                <w:webHidden/>
              </w:rPr>
              <w:fldChar w:fldCharType="begin"/>
            </w:r>
            <w:r w:rsidR="00985E6E">
              <w:rPr>
                <w:noProof/>
                <w:webHidden/>
              </w:rPr>
              <w:instrText xml:space="preserve"> PAGEREF _Toc19527454 \h </w:instrText>
            </w:r>
            <w:r w:rsidR="00985E6E">
              <w:rPr>
                <w:noProof/>
                <w:webHidden/>
              </w:rPr>
            </w:r>
            <w:r w:rsidR="00985E6E">
              <w:rPr>
                <w:noProof/>
                <w:webHidden/>
              </w:rPr>
              <w:fldChar w:fldCharType="separate"/>
            </w:r>
            <w:r w:rsidR="00205E51">
              <w:rPr>
                <w:noProof/>
                <w:webHidden/>
              </w:rPr>
              <w:t>76</w:t>
            </w:r>
            <w:r w:rsidR="00985E6E">
              <w:rPr>
                <w:noProof/>
                <w:webHidden/>
              </w:rPr>
              <w:fldChar w:fldCharType="end"/>
            </w:r>
          </w:hyperlink>
        </w:p>
        <w:p w:rsidR="00985E6E" w:rsidRDefault="00E94D43">
          <w:pPr>
            <w:pStyle w:val="TDC2"/>
            <w:rPr>
              <w:rFonts w:asciiTheme="minorHAnsi" w:hAnsiTheme="minorHAnsi" w:cstheme="minorBidi"/>
              <w:noProof/>
            </w:rPr>
          </w:pPr>
          <w:hyperlink w:anchor="_Toc19527455" w:history="1">
            <w:r w:rsidR="00985E6E" w:rsidRPr="006C6399">
              <w:rPr>
                <w:rStyle w:val="Hipervnculo"/>
                <w:noProof/>
                <w:lang w:val="es-ES"/>
              </w:rPr>
              <w:t>5.5</w:t>
            </w:r>
            <w:r w:rsidR="00985E6E">
              <w:rPr>
                <w:rFonts w:asciiTheme="minorHAnsi" w:hAnsiTheme="minorHAnsi" w:cstheme="minorBidi"/>
                <w:noProof/>
              </w:rPr>
              <w:tab/>
            </w:r>
            <w:r w:rsidR="00985E6E" w:rsidRPr="006C6399">
              <w:rPr>
                <w:rStyle w:val="Hipervnculo"/>
                <w:noProof/>
                <w:lang w:val="es-ES"/>
              </w:rPr>
              <w:t>Otros Organismos del Estado</w:t>
            </w:r>
            <w:r w:rsidR="00985E6E">
              <w:rPr>
                <w:noProof/>
                <w:webHidden/>
              </w:rPr>
              <w:tab/>
            </w:r>
            <w:r w:rsidR="00985E6E">
              <w:rPr>
                <w:noProof/>
                <w:webHidden/>
              </w:rPr>
              <w:fldChar w:fldCharType="begin"/>
            </w:r>
            <w:r w:rsidR="00985E6E">
              <w:rPr>
                <w:noProof/>
                <w:webHidden/>
              </w:rPr>
              <w:instrText xml:space="preserve"> PAGEREF _Toc19527455 \h </w:instrText>
            </w:r>
            <w:r w:rsidR="00985E6E">
              <w:rPr>
                <w:noProof/>
                <w:webHidden/>
              </w:rPr>
            </w:r>
            <w:r w:rsidR="00985E6E">
              <w:rPr>
                <w:noProof/>
                <w:webHidden/>
              </w:rPr>
              <w:fldChar w:fldCharType="separate"/>
            </w:r>
            <w:r w:rsidR="00205E51">
              <w:rPr>
                <w:noProof/>
                <w:webHidden/>
              </w:rPr>
              <w:t>89</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56" w:history="1">
            <w:r w:rsidR="00985E6E" w:rsidRPr="006C6399">
              <w:rPr>
                <w:rStyle w:val="Hipervnculo"/>
                <w:rFonts w:eastAsia="Times New Roman"/>
                <w:noProof/>
                <w:lang w:val="es-ES" w:eastAsia="es-ES"/>
              </w:rPr>
              <w:t>6</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Conclusiones</w:t>
            </w:r>
            <w:r w:rsidR="00985E6E">
              <w:rPr>
                <w:noProof/>
                <w:webHidden/>
              </w:rPr>
              <w:tab/>
            </w:r>
            <w:r w:rsidR="00985E6E">
              <w:rPr>
                <w:noProof/>
                <w:webHidden/>
              </w:rPr>
              <w:fldChar w:fldCharType="begin"/>
            </w:r>
            <w:r w:rsidR="00985E6E">
              <w:rPr>
                <w:noProof/>
                <w:webHidden/>
              </w:rPr>
              <w:instrText xml:space="preserve"> PAGEREF _Toc19527456 \h </w:instrText>
            </w:r>
            <w:r w:rsidR="00985E6E">
              <w:rPr>
                <w:noProof/>
                <w:webHidden/>
              </w:rPr>
            </w:r>
            <w:r w:rsidR="00985E6E">
              <w:rPr>
                <w:noProof/>
                <w:webHidden/>
              </w:rPr>
              <w:fldChar w:fldCharType="separate"/>
            </w:r>
            <w:r w:rsidR="00205E51">
              <w:rPr>
                <w:noProof/>
                <w:webHidden/>
              </w:rPr>
              <w:t>91</w:t>
            </w:r>
            <w:r w:rsidR="00985E6E">
              <w:rPr>
                <w:noProof/>
                <w:webHidden/>
              </w:rPr>
              <w:fldChar w:fldCharType="end"/>
            </w:r>
          </w:hyperlink>
        </w:p>
        <w:p w:rsidR="00985E6E" w:rsidRDefault="00E94D43">
          <w:pPr>
            <w:pStyle w:val="TDC1"/>
            <w:rPr>
              <w:rFonts w:asciiTheme="minorHAnsi" w:eastAsiaTheme="minorEastAsia" w:hAnsiTheme="minorHAnsi" w:cstheme="minorBidi"/>
              <w:noProof/>
            </w:rPr>
          </w:pPr>
          <w:hyperlink w:anchor="_Toc19527457" w:history="1">
            <w:r w:rsidR="00985E6E" w:rsidRPr="006C6399">
              <w:rPr>
                <w:rStyle w:val="Hipervnculo"/>
                <w:rFonts w:eastAsia="Times New Roman"/>
                <w:noProof/>
                <w:lang w:val="es-ES" w:eastAsia="es-ES"/>
              </w:rPr>
              <w:t>7</w:t>
            </w:r>
            <w:r w:rsidR="00985E6E">
              <w:rPr>
                <w:rFonts w:asciiTheme="minorHAnsi" w:eastAsiaTheme="minorEastAsia" w:hAnsiTheme="minorHAnsi" w:cstheme="minorBidi"/>
                <w:noProof/>
              </w:rPr>
              <w:tab/>
            </w:r>
            <w:r w:rsidR="00985E6E" w:rsidRPr="006C6399">
              <w:rPr>
                <w:rStyle w:val="Hipervnculo"/>
                <w:rFonts w:eastAsia="Times New Roman"/>
                <w:noProof/>
                <w:lang w:val="es-ES" w:eastAsia="es-ES"/>
              </w:rPr>
              <w:t>Siglas y acrónimos</w:t>
            </w:r>
            <w:r w:rsidR="00985E6E">
              <w:rPr>
                <w:noProof/>
                <w:webHidden/>
              </w:rPr>
              <w:tab/>
            </w:r>
            <w:r w:rsidR="00985E6E">
              <w:rPr>
                <w:noProof/>
                <w:webHidden/>
              </w:rPr>
              <w:fldChar w:fldCharType="begin"/>
            </w:r>
            <w:r w:rsidR="00985E6E">
              <w:rPr>
                <w:noProof/>
                <w:webHidden/>
              </w:rPr>
              <w:instrText xml:space="preserve"> PAGEREF _Toc19527457 \h </w:instrText>
            </w:r>
            <w:r w:rsidR="00985E6E">
              <w:rPr>
                <w:noProof/>
                <w:webHidden/>
              </w:rPr>
            </w:r>
            <w:r w:rsidR="00985E6E">
              <w:rPr>
                <w:noProof/>
                <w:webHidden/>
              </w:rPr>
              <w:fldChar w:fldCharType="separate"/>
            </w:r>
            <w:r w:rsidR="00205E51">
              <w:rPr>
                <w:noProof/>
                <w:webHidden/>
              </w:rPr>
              <w:t>94</w:t>
            </w:r>
            <w:r w:rsidR="00985E6E">
              <w:rPr>
                <w:noProof/>
                <w:webHidden/>
              </w:rPr>
              <w:fldChar w:fldCharType="end"/>
            </w:r>
          </w:hyperlink>
        </w:p>
        <w:p w:rsidR="00D1423B" w:rsidRPr="007223FB" w:rsidRDefault="00D1423B">
          <w:r w:rsidRPr="009B30CD">
            <w:rPr>
              <w:b/>
              <w:bCs/>
              <w:sz w:val="20"/>
              <w:lang w:val="es-ES"/>
            </w:rPr>
            <w:fldChar w:fldCharType="end"/>
          </w:r>
        </w:p>
      </w:sdtContent>
    </w:sdt>
    <w:p w:rsidR="00DC1886" w:rsidRDefault="00DC1886">
      <w:pPr>
        <w:jc w:val="left"/>
        <w:rPr>
          <w:rFonts w:eastAsia="Candara" w:cs="Candara"/>
          <w:b/>
          <w:w w:val="99"/>
        </w:rPr>
      </w:pPr>
      <w:r>
        <w:rPr>
          <w:rFonts w:eastAsia="Candara" w:cs="Candara"/>
          <w:b/>
          <w:w w:val="99"/>
        </w:rPr>
        <w:br w:type="page"/>
      </w:r>
    </w:p>
    <w:p w:rsidR="00F36835" w:rsidRPr="009B30CD" w:rsidRDefault="00985E6E" w:rsidP="00284434">
      <w:pPr>
        <w:spacing w:before="35" w:after="0" w:line="240" w:lineRule="auto"/>
        <w:ind w:right="4229"/>
        <w:rPr>
          <w:rFonts w:eastAsia="Candara" w:cs="Candara"/>
          <w:b/>
          <w:w w:val="99"/>
        </w:rPr>
      </w:pPr>
      <w:r>
        <w:rPr>
          <w:rFonts w:eastAsia="Candara" w:cs="Candara"/>
          <w:b/>
          <w:w w:val="99"/>
        </w:rPr>
        <w:lastRenderedPageBreak/>
        <w:t xml:space="preserve">ÍNDICE DE </w:t>
      </w:r>
      <w:r w:rsidR="009B30CD" w:rsidRPr="009B30CD">
        <w:rPr>
          <w:rFonts w:eastAsia="Candara" w:cs="Candara"/>
          <w:b/>
          <w:w w:val="99"/>
        </w:rPr>
        <w:t>CUADROS</w:t>
      </w:r>
    </w:p>
    <w:p w:rsidR="009B30CD" w:rsidRDefault="009B30CD">
      <w:pPr>
        <w:pStyle w:val="TDC4"/>
        <w:tabs>
          <w:tab w:val="right" w:leader="dot" w:pos="9204"/>
        </w:tabs>
        <w:rPr>
          <w:rFonts w:asciiTheme="minorHAnsi" w:eastAsiaTheme="minorEastAsia" w:hAnsiTheme="minorHAnsi"/>
          <w:noProof/>
          <w:lang w:eastAsia="es-GT"/>
        </w:rPr>
      </w:pPr>
      <w:r>
        <w:rPr>
          <w:rFonts w:eastAsia="Candara" w:cs="Candara"/>
          <w:b/>
          <w:spacing w:val="1"/>
        </w:rPr>
        <w:fldChar w:fldCharType="begin"/>
      </w:r>
      <w:r>
        <w:rPr>
          <w:rFonts w:eastAsia="Candara" w:cs="Candara"/>
          <w:b/>
          <w:spacing w:val="1"/>
        </w:rPr>
        <w:instrText xml:space="preserve"> TOC \o "4-4" \u </w:instrText>
      </w:r>
      <w:r>
        <w:rPr>
          <w:rFonts w:eastAsia="Candara" w:cs="Candara"/>
          <w:b/>
          <w:spacing w:val="1"/>
        </w:rPr>
        <w:fldChar w:fldCharType="separate"/>
      </w:r>
      <w:r w:rsidRPr="00B96BBC">
        <w:rPr>
          <w:b/>
          <w:noProof/>
        </w:rPr>
        <w:t xml:space="preserve">Cuadro 1 Ministerio de Agricultura, Ganadería y Alimentación Resultado Estratégico, productos y subproductos Ejercicio </w:t>
      </w:r>
      <w:r w:rsidRPr="00731E55">
        <w:rPr>
          <w:noProof/>
        </w:rPr>
        <w:t>Fiscal</w:t>
      </w:r>
      <w:r w:rsidRPr="00B96BBC">
        <w:rPr>
          <w:b/>
          <w:noProof/>
        </w:rPr>
        <w:t xml:space="preserve"> Segundo Cuatrimestre 2019</w:t>
      </w:r>
      <w:r>
        <w:rPr>
          <w:noProof/>
        </w:rPr>
        <w:tab/>
      </w:r>
      <w:r>
        <w:rPr>
          <w:noProof/>
        </w:rPr>
        <w:fldChar w:fldCharType="begin"/>
      </w:r>
      <w:r>
        <w:rPr>
          <w:noProof/>
        </w:rPr>
        <w:instrText xml:space="preserve"> PAGEREF _Toc19524687 \h </w:instrText>
      </w:r>
      <w:r>
        <w:rPr>
          <w:noProof/>
        </w:rPr>
      </w:r>
      <w:r>
        <w:rPr>
          <w:noProof/>
        </w:rPr>
        <w:fldChar w:fldCharType="separate"/>
      </w:r>
      <w:r w:rsidR="00205E51">
        <w:rPr>
          <w:noProof/>
        </w:rPr>
        <w:t>4</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2 Generación Eléctrica por tipo de Recurso en GWh</w:t>
      </w:r>
      <w:r>
        <w:rPr>
          <w:noProof/>
        </w:rPr>
        <w:tab/>
      </w:r>
      <w:r>
        <w:rPr>
          <w:noProof/>
        </w:rPr>
        <w:fldChar w:fldCharType="begin"/>
      </w:r>
      <w:r>
        <w:rPr>
          <w:noProof/>
        </w:rPr>
        <w:instrText xml:space="preserve"> PAGEREF _Toc19524688 \h </w:instrText>
      </w:r>
      <w:r>
        <w:rPr>
          <w:noProof/>
        </w:rPr>
      </w:r>
      <w:r>
        <w:rPr>
          <w:noProof/>
        </w:rPr>
        <w:fldChar w:fldCharType="separate"/>
      </w:r>
      <w:r w:rsidR="00205E51">
        <w:rPr>
          <w:noProof/>
        </w:rPr>
        <w:t>11</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 xml:space="preserve">Cuadro 3 </w:t>
      </w:r>
      <w:r w:rsidRPr="00731E55">
        <w:rPr>
          <w:b/>
          <w:noProof/>
        </w:rPr>
        <w:t>Estructura</w:t>
      </w:r>
      <w:r w:rsidRPr="00B96BBC">
        <w:rPr>
          <w:b/>
          <w:noProof/>
        </w:rPr>
        <w:t xml:space="preserve"> del gasto de inversión pública Años 2018 – 2019 (Millones de quetzales)</w:t>
      </w:r>
      <w:r>
        <w:rPr>
          <w:noProof/>
        </w:rPr>
        <w:tab/>
      </w:r>
      <w:r>
        <w:rPr>
          <w:noProof/>
        </w:rPr>
        <w:fldChar w:fldCharType="begin"/>
      </w:r>
      <w:r>
        <w:rPr>
          <w:noProof/>
        </w:rPr>
        <w:instrText xml:space="preserve"> PAGEREF _Toc19524689 \h </w:instrText>
      </w:r>
      <w:r>
        <w:rPr>
          <w:noProof/>
        </w:rPr>
      </w:r>
      <w:r>
        <w:rPr>
          <w:noProof/>
        </w:rPr>
        <w:fldChar w:fldCharType="separate"/>
      </w:r>
      <w:r w:rsidR="00205E51">
        <w:rPr>
          <w:noProof/>
        </w:rPr>
        <w:t>12</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4 Ejecución del presupuesto de inversión pública Segundo cuatrimestre Ejercicio fiscal 2019 (Millones de quetzales)</w:t>
      </w:r>
      <w:r>
        <w:rPr>
          <w:noProof/>
        </w:rPr>
        <w:tab/>
      </w:r>
      <w:r>
        <w:rPr>
          <w:noProof/>
        </w:rPr>
        <w:fldChar w:fldCharType="begin"/>
      </w:r>
      <w:r>
        <w:rPr>
          <w:noProof/>
        </w:rPr>
        <w:instrText xml:space="preserve"> PAGEREF _Toc19524690 \h </w:instrText>
      </w:r>
      <w:r>
        <w:rPr>
          <w:noProof/>
        </w:rPr>
      </w:r>
      <w:r>
        <w:rPr>
          <w:noProof/>
        </w:rPr>
        <w:fldChar w:fldCharType="separate"/>
      </w:r>
      <w:r w:rsidR="00205E51">
        <w:rPr>
          <w:noProof/>
        </w:rPr>
        <w:t>13</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5 Inversión pública asignada y ejecutada por el Gobierno Central y Empresas Públicas no Financieras Nacionales Ejercicio Fiscal 2019 (Millones de Quetzales)</w:t>
      </w:r>
      <w:r>
        <w:rPr>
          <w:noProof/>
        </w:rPr>
        <w:tab/>
      </w:r>
      <w:r>
        <w:rPr>
          <w:noProof/>
        </w:rPr>
        <w:fldChar w:fldCharType="begin"/>
      </w:r>
      <w:r>
        <w:rPr>
          <w:noProof/>
        </w:rPr>
        <w:instrText xml:space="preserve"> PAGEREF _Toc19524691 \h </w:instrText>
      </w:r>
      <w:r>
        <w:rPr>
          <w:noProof/>
        </w:rPr>
      </w:r>
      <w:r>
        <w:rPr>
          <w:noProof/>
        </w:rPr>
        <w:fldChar w:fldCharType="separate"/>
      </w:r>
      <w:r w:rsidR="00205E51">
        <w:rPr>
          <w:noProof/>
        </w:rPr>
        <w:t>16</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6 Inversión pública asignada y ejecutada por los Consejos Departamentales de Desarrollo Ejercicio Fiscal 2019 (Millones de Quetzales)</w:t>
      </w:r>
      <w:r>
        <w:rPr>
          <w:noProof/>
        </w:rPr>
        <w:tab/>
      </w:r>
      <w:r>
        <w:rPr>
          <w:noProof/>
        </w:rPr>
        <w:fldChar w:fldCharType="begin"/>
      </w:r>
      <w:r>
        <w:rPr>
          <w:noProof/>
        </w:rPr>
        <w:instrText xml:space="preserve"> PAGEREF _Toc19524692 \h </w:instrText>
      </w:r>
      <w:r>
        <w:rPr>
          <w:noProof/>
        </w:rPr>
      </w:r>
      <w:r>
        <w:rPr>
          <w:noProof/>
        </w:rPr>
        <w:fldChar w:fldCharType="separate"/>
      </w:r>
      <w:r w:rsidR="00205E51">
        <w:rPr>
          <w:noProof/>
        </w:rPr>
        <w:t>17</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7 Inversión pública asignada y ejecutada por los Gobiernos Locales Ejercicio Fiscal 2019 (Millones de Quetzales)</w:t>
      </w:r>
      <w:r>
        <w:rPr>
          <w:noProof/>
        </w:rPr>
        <w:tab/>
      </w:r>
      <w:r>
        <w:rPr>
          <w:noProof/>
        </w:rPr>
        <w:fldChar w:fldCharType="begin"/>
      </w:r>
      <w:r>
        <w:rPr>
          <w:noProof/>
        </w:rPr>
        <w:instrText xml:space="preserve"> PAGEREF _Toc19524693 \h </w:instrText>
      </w:r>
      <w:r>
        <w:rPr>
          <w:noProof/>
        </w:rPr>
      </w:r>
      <w:r>
        <w:rPr>
          <w:noProof/>
        </w:rPr>
        <w:fldChar w:fldCharType="separate"/>
      </w:r>
      <w:r w:rsidR="00205E51">
        <w:rPr>
          <w:noProof/>
        </w:rPr>
        <w:t>18</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No. 8 Presupuesto Asignado - Vigente - Ejecución Enero - Agosto 2019 (Cifras expresadas en millones de Quetzales)</w:t>
      </w:r>
      <w:r>
        <w:rPr>
          <w:noProof/>
        </w:rPr>
        <w:tab/>
      </w:r>
      <w:r>
        <w:rPr>
          <w:noProof/>
        </w:rPr>
        <w:fldChar w:fldCharType="begin"/>
      </w:r>
      <w:r>
        <w:rPr>
          <w:noProof/>
        </w:rPr>
        <w:instrText xml:space="preserve"> PAGEREF _Toc19524694 \h </w:instrText>
      </w:r>
      <w:r>
        <w:rPr>
          <w:noProof/>
        </w:rPr>
      </w:r>
      <w:r>
        <w:rPr>
          <w:noProof/>
        </w:rPr>
        <w:fldChar w:fldCharType="separate"/>
      </w:r>
      <w:r w:rsidR="00205E51">
        <w:rPr>
          <w:noProof/>
        </w:rPr>
        <w:t>19</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9 Ejecución por tipo de institución Enero - Agosto 2019 (Cifras expresadas en millones de Quetzales)</w:t>
      </w:r>
      <w:r>
        <w:rPr>
          <w:noProof/>
        </w:rPr>
        <w:tab/>
      </w:r>
      <w:r>
        <w:rPr>
          <w:noProof/>
        </w:rPr>
        <w:fldChar w:fldCharType="begin"/>
      </w:r>
      <w:r>
        <w:rPr>
          <w:noProof/>
        </w:rPr>
        <w:instrText xml:space="preserve"> PAGEREF _Toc19524695 \h </w:instrText>
      </w:r>
      <w:r>
        <w:rPr>
          <w:noProof/>
        </w:rPr>
      </w:r>
      <w:r>
        <w:rPr>
          <w:noProof/>
        </w:rPr>
        <w:fldChar w:fldCharType="separate"/>
      </w:r>
      <w:r w:rsidR="00205E51">
        <w:rPr>
          <w:noProof/>
        </w:rPr>
        <w:t>21</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10 Ejecución de donaciones Gobierno Central - Enero – Agosto 2019 (Cifras expresadas en millones de Quetzales)</w:t>
      </w:r>
      <w:r>
        <w:rPr>
          <w:noProof/>
        </w:rPr>
        <w:tab/>
      </w:r>
      <w:r>
        <w:rPr>
          <w:noProof/>
        </w:rPr>
        <w:fldChar w:fldCharType="begin"/>
      </w:r>
      <w:r>
        <w:rPr>
          <w:noProof/>
        </w:rPr>
        <w:instrText xml:space="preserve"> PAGEREF _Toc19524696 \h </w:instrText>
      </w:r>
      <w:r>
        <w:rPr>
          <w:noProof/>
        </w:rPr>
      </w:r>
      <w:r>
        <w:rPr>
          <w:noProof/>
        </w:rPr>
        <w:fldChar w:fldCharType="separate"/>
      </w:r>
      <w:r w:rsidR="00205E51">
        <w:rPr>
          <w:noProof/>
        </w:rPr>
        <w:t>21</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11 Ejecución por programa o proyecto Enero - Agosto 2019 (Cifras expresadas en millones de Quetzales)</w:t>
      </w:r>
      <w:r>
        <w:rPr>
          <w:noProof/>
        </w:rPr>
        <w:tab/>
      </w:r>
      <w:r>
        <w:rPr>
          <w:noProof/>
        </w:rPr>
        <w:fldChar w:fldCharType="begin"/>
      </w:r>
      <w:r>
        <w:rPr>
          <w:noProof/>
        </w:rPr>
        <w:instrText xml:space="preserve"> PAGEREF _Toc19524697 \h </w:instrText>
      </w:r>
      <w:r>
        <w:rPr>
          <w:noProof/>
        </w:rPr>
      </w:r>
      <w:r>
        <w:rPr>
          <w:noProof/>
        </w:rPr>
        <w:fldChar w:fldCharType="separate"/>
      </w:r>
      <w:r w:rsidR="00205E51">
        <w:rPr>
          <w:noProof/>
        </w:rPr>
        <w:t>22</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12 Ministerio de Agricultura, Ganadería y Alimentación Resultado Estratégico, productos y subproductos Ejercicio Fiscal Segundo  Cuatrimestre 2019</w:t>
      </w:r>
      <w:r>
        <w:rPr>
          <w:noProof/>
        </w:rPr>
        <w:tab/>
      </w:r>
      <w:r>
        <w:rPr>
          <w:noProof/>
        </w:rPr>
        <w:fldChar w:fldCharType="begin"/>
      </w:r>
      <w:r>
        <w:rPr>
          <w:noProof/>
        </w:rPr>
        <w:instrText xml:space="preserve"> PAGEREF _Toc19524698 \h </w:instrText>
      </w:r>
      <w:r>
        <w:rPr>
          <w:noProof/>
        </w:rPr>
      </w:r>
      <w:r>
        <w:rPr>
          <w:noProof/>
        </w:rPr>
        <w:fldChar w:fldCharType="separate"/>
      </w:r>
      <w:r w:rsidR="00205E51">
        <w:rPr>
          <w:noProof/>
        </w:rPr>
        <w:t>28</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13 Resultados Institucionales, metas físicas de la producción Ejercicio Fiscal 2do cuatrimestre 2019</w:t>
      </w:r>
      <w:r>
        <w:rPr>
          <w:noProof/>
        </w:rPr>
        <w:tab/>
      </w:r>
      <w:r>
        <w:rPr>
          <w:noProof/>
        </w:rPr>
        <w:fldChar w:fldCharType="begin"/>
      </w:r>
      <w:r>
        <w:rPr>
          <w:noProof/>
        </w:rPr>
        <w:instrText xml:space="preserve"> PAGEREF _Toc19524699 \h </w:instrText>
      </w:r>
      <w:r>
        <w:rPr>
          <w:noProof/>
        </w:rPr>
      </w:r>
      <w:r>
        <w:rPr>
          <w:noProof/>
        </w:rPr>
        <w:fldChar w:fldCharType="separate"/>
      </w:r>
      <w:r w:rsidR="00205E51">
        <w:rPr>
          <w:noProof/>
        </w:rPr>
        <w:t>32</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14 Ejecución presupuestaria por unidad ejecutora, Ministerio de Comunicaciones, Infraestructura y Vivienda Mayo - Agosto 2019 En millones de Q</w:t>
      </w:r>
      <w:r>
        <w:rPr>
          <w:noProof/>
        </w:rPr>
        <w:tab/>
      </w:r>
      <w:r>
        <w:rPr>
          <w:noProof/>
        </w:rPr>
        <w:fldChar w:fldCharType="begin"/>
      </w:r>
      <w:r>
        <w:rPr>
          <w:noProof/>
        </w:rPr>
        <w:instrText xml:space="preserve"> PAGEREF _Toc19524700 \h </w:instrText>
      </w:r>
      <w:r>
        <w:rPr>
          <w:noProof/>
        </w:rPr>
      </w:r>
      <w:r>
        <w:rPr>
          <w:noProof/>
        </w:rPr>
        <w:fldChar w:fldCharType="separate"/>
      </w:r>
      <w:r w:rsidR="00205E51">
        <w:rPr>
          <w:noProof/>
        </w:rPr>
        <w:t>37</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15 Ejecución presupuestaria, atención a desastres y calamidades públicas Ministerio de Comunicaciones, Infraestructura y Vivienda Mayo - Agosto 2019 En millones de Q</w:t>
      </w:r>
      <w:r>
        <w:rPr>
          <w:noProof/>
        </w:rPr>
        <w:tab/>
      </w:r>
      <w:r>
        <w:rPr>
          <w:noProof/>
        </w:rPr>
        <w:fldChar w:fldCharType="begin"/>
      </w:r>
      <w:r>
        <w:rPr>
          <w:noProof/>
        </w:rPr>
        <w:instrText xml:space="preserve"> PAGEREF _Toc19524701 \h </w:instrText>
      </w:r>
      <w:r>
        <w:rPr>
          <w:noProof/>
        </w:rPr>
      </w:r>
      <w:r>
        <w:rPr>
          <w:noProof/>
        </w:rPr>
        <w:fldChar w:fldCharType="separate"/>
      </w:r>
      <w:r w:rsidR="00205E51">
        <w:rPr>
          <w:noProof/>
        </w:rPr>
        <w:t>38</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16 Ejecución presupuestaria, cooperación reembolsable, Ministerio de Comunicaciones, Infraestructura y Vivienda Mayo - Agosto 2019 En millones de Q</w:t>
      </w:r>
      <w:r>
        <w:rPr>
          <w:noProof/>
        </w:rPr>
        <w:tab/>
      </w:r>
      <w:r>
        <w:rPr>
          <w:noProof/>
        </w:rPr>
        <w:fldChar w:fldCharType="begin"/>
      </w:r>
      <w:r>
        <w:rPr>
          <w:noProof/>
        </w:rPr>
        <w:instrText xml:space="preserve"> PAGEREF _Toc19524702 \h </w:instrText>
      </w:r>
      <w:r>
        <w:rPr>
          <w:noProof/>
        </w:rPr>
      </w:r>
      <w:r>
        <w:rPr>
          <w:noProof/>
        </w:rPr>
        <w:fldChar w:fldCharType="separate"/>
      </w:r>
      <w:r w:rsidR="00205E51">
        <w:rPr>
          <w:noProof/>
        </w:rPr>
        <w:t>39</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17 Programas y Productos del Ministerio de Trabajo y Previsión Social Mayo - agosto 2019</w:t>
      </w:r>
      <w:r>
        <w:rPr>
          <w:noProof/>
        </w:rPr>
        <w:tab/>
      </w:r>
      <w:r>
        <w:rPr>
          <w:noProof/>
        </w:rPr>
        <w:fldChar w:fldCharType="begin"/>
      </w:r>
      <w:r>
        <w:rPr>
          <w:noProof/>
        </w:rPr>
        <w:instrText xml:space="preserve"> PAGEREF _Toc19524703 \h </w:instrText>
      </w:r>
      <w:r>
        <w:rPr>
          <w:noProof/>
        </w:rPr>
      </w:r>
      <w:r>
        <w:rPr>
          <w:noProof/>
        </w:rPr>
        <w:fldChar w:fldCharType="separate"/>
      </w:r>
      <w:r w:rsidR="00205E51">
        <w:rPr>
          <w:noProof/>
        </w:rPr>
        <w:t>42</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18 Resultados Institucionales y Productos del Ministerio de Economía Mayo – agosto 2019</w:t>
      </w:r>
      <w:r>
        <w:rPr>
          <w:noProof/>
        </w:rPr>
        <w:tab/>
      </w:r>
      <w:r>
        <w:rPr>
          <w:noProof/>
        </w:rPr>
        <w:fldChar w:fldCharType="begin"/>
      </w:r>
      <w:r>
        <w:rPr>
          <w:noProof/>
        </w:rPr>
        <w:instrText xml:space="preserve"> PAGEREF _Toc19524704 \h </w:instrText>
      </w:r>
      <w:r>
        <w:rPr>
          <w:noProof/>
        </w:rPr>
      </w:r>
      <w:r>
        <w:rPr>
          <w:noProof/>
        </w:rPr>
        <w:fldChar w:fldCharType="separate"/>
      </w:r>
      <w:r w:rsidR="00205E51">
        <w:rPr>
          <w:noProof/>
        </w:rPr>
        <w:t>44</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19 Resultados Institucionales, metas físicas de la producción Ejercicio Fiscal  2do Cuatrimestre 2019</w:t>
      </w:r>
      <w:r>
        <w:rPr>
          <w:noProof/>
        </w:rPr>
        <w:tab/>
      </w:r>
      <w:r>
        <w:rPr>
          <w:noProof/>
        </w:rPr>
        <w:fldChar w:fldCharType="begin"/>
      </w:r>
      <w:r>
        <w:rPr>
          <w:noProof/>
        </w:rPr>
        <w:instrText xml:space="preserve"> PAGEREF _Toc19524705 \h </w:instrText>
      </w:r>
      <w:r>
        <w:rPr>
          <w:noProof/>
        </w:rPr>
      </w:r>
      <w:r>
        <w:rPr>
          <w:noProof/>
        </w:rPr>
        <w:fldChar w:fldCharType="separate"/>
      </w:r>
      <w:r w:rsidR="00205E51">
        <w:rPr>
          <w:noProof/>
        </w:rPr>
        <w:t>58</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lastRenderedPageBreak/>
        <w:t>Cuadro 20 Resultados Institucionales, metas físicas de la producción Ejercicio Fiscal  2do Cuatrimestre 2019</w:t>
      </w:r>
      <w:r>
        <w:rPr>
          <w:noProof/>
        </w:rPr>
        <w:tab/>
      </w:r>
      <w:r>
        <w:rPr>
          <w:noProof/>
        </w:rPr>
        <w:fldChar w:fldCharType="begin"/>
      </w:r>
      <w:r>
        <w:rPr>
          <w:noProof/>
        </w:rPr>
        <w:instrText xml:space="preserve"> PAGEREF _Toc19524706 \h </w:instrText>
      </w:r>
      <w:r>
        <w:rPr>
          <w:noProof/>
        </w:rPr>
      </w:r>
      <w:r>
        <w:rPr>
          <w:noProof/>
        </w:rPr>
        <w:fldChar w:fldCharType="separate"/>
      </w:r>
      <w:r w:rsidR="00205E51">
        <w:rPr>
          <w:noProof/>
        </w:rPr>
        <w:t>67</w:t>
      </w:r>
      <w:r>
        <w:rPr>
          <w:noProof/>
        </w:rPr>
        <w:fldChar w:fldCharType="end"/>
      </w:r>
    </w:p>
    <w:p w:rsidR="009B30CD" w:rsidRDefault="009B30CD">
      <w:pPr>
        <w:pStyle w:val="TDC4"/>
        <w:tabs>
          <w:tab w:val="right" w:leader="dot" w:pos="9204"/>
        </w:tabs>
        <w:rPr>
          <w:rFonts w:asciiTheme="minorHAnsi" w:eastAsiaTheme="minorEastAsia" w:hAnsiTheme="minorHAnsi"/>
          <w:noProof/>
          <w:lang w:eastAsia="es-GT"/>
        </w:rPr>
      </w:pPr>
      <w:r w:rsidRPr="00B96BBC">
        <w:rPr>
          <w:b/>
          <w:noProof/>
        </w:rPr>
        <w:t>Cuadro 21 Entidades  que integran la CDAG Ejercicio Fiscal  2do cuatrimestre 2019 (Millones de Quetzales)</w:t>
      </w:r>
      <w:r>
        <w:rPr>
          <w:noProof/>
        </w:rPr>
        <w:tab/>
      </w:r>
      <w:r>
        <w:rPr>
          <w:noProof/>
        </w:rPr>
        <w:fldChar w:fldCharType="begin"/>
      </w:r>
      <w:r>
        <w:rPr>
          <w:noProof/>
        </w:rPr>
        <w:instrText xml:space="preserve"> PAGEREF _Toc19524707 \h </w:instrText>
      </w:r>
      <w:r>
        <w:rPr>
          <w:noProof/>
        </w:rPr>
      </w:r>
      <w:r>
        <w:rPr>
          <w:noProof/>
        </w:rPr>
        <w:fldChar w:fldCharType="separate"/>
      </w:r>
      <w:r w:rsidR="00205E51">
        <w:rPr>
          <w:noProof/>
        </w:rPr>
        <w:t>87</w:t>
      </w:r>
      <w:r>
        <w:rPr>
          <w:noProof/>
        </w:rPr>
        <w:fldChar w:fldCharType="end"/>
      </w:r>
    </w:p>
    <w:p w:rsidR="00F36835" w:rsidRDefault="009B30CD" w:rsidP="00DD1560">
      <w:pPr>
        <w:spacing w:before="36" w:after="0" w:line="240" w:lineRule="auto"/>
        <w:ind w:right="3504"/>
        <w:rPr>
          <w:rFonts w:eastAsia="Candara" w:cs="Candara"/>
          <w:b/>
          <w:spacing w:val="1"/>
        </w:rPr>
      </w:pPr>
      <w:r>
        <w:rPr>
          <w:rFonts w:eastAsia="Candara" w:cs="Candara"/>
          <w:b/>
          <w:spacing w:val="1"/>
        </w:rPr>
        <w:fldChar w:fldCharType="end"/>
      </w:r>
    </w:p>
    <w:p w:rsidR="009B30CD" w:rsidRDefault="00985E6E" w:rsidP="00DD1560">
      <w:pPr>
        <w:spacing w:before="36" w:after="0" w:line="240" w:lineRule="auto"/>
        <w:ind w:right="3504"/>
        <w:rPr>
          <w:rFonts w:eastAsia="Candara" w:cs="Candara"/>
          <w:b/>
          <w:spacing w:val="1"/>
        </w:rPr>
      </w:pPr>
      <w:r>
        <w:rPr>
          <w:rFonts w:eastAsia="Candara" w:cs="Candara"/>
          <w:b/>
          <w:spacing w:val="1"/>
        </w:rPr>
        <w:t>ÍNDICE DE GRÁ</w:t>
      </w:r>
      <w:r w:rsidR="009B30CD">
        <w:rPr>
          <w:rFonts w:eastAsia="Candara" w:cs="Candara"/>
          <w:b/>
          <w:spacing w:val="1"/>
        </w:rPr>
        <w:t>FICAS</w:t>
      </w:r>
    </w:p>
    <w:p w:rsidR="009B30CD" w:rsidRDefault="009B30CD" w:rsidP="00DD1560">
      <w:pPr>
        <w:spacing w:before="36" w:after="0" w:line="240" w:lineRule="auto"/>
        <w:ind w:right="3504"/>
        <w:rPr>
          <w:rFonts w:eastAsia="Candara" w:cs="Candara"/>
          <w:b/>
          <w:spacing w:val="1"/>
        </w:rPr>
      </w:pPr>
    </w:p>
    <w:p w:rsidR="00985E6E" w:rsidRDefault="00985E6E">
      <w:pPr>
        <w:pStyle w:val="TDC5"/>
        <w:tabs>
          <w:tab w:val="right" w:leader="dot" w:pos="9204"/>
        </w:tabs>
        <w:rPr>
          <w:rFonts w:asciiTheme="minorHAnsi" w:eastAsiaTheme="minorEastAsia" w:hAnsiTheme="minorHAnsi"/>
          <w:noProof/>
          <w:lang w:eastAsia="es-GT"/>
        </w:rPr>
      </w:pPr>
      <w:r>
        <w:rPr>
          <w:rFonts w:eastAsia="Candara" w:cs="Candara"/>
          <w:b/>
          <w:spacing w:val="1"/>
        </w:rPr>
        <w:fldChar w:fldCharType="begin"/>
      </w:r>
      <w:r>
        <w:rPr>
          <w:rFonts w:eastAsia="Candara" w:cs="Candara"/>
          <w:b/>
          <w:spacing w:val="1"/>
        </w:rPr>
        <w:instrText xml:space="preserve"> TOC \o "5-5" \u </w:instrText>
      </w:r>
      <w:r>
        <w:rPr>
          <w:rFonts w:eastAsia="Candara" w:cs="Candara"/>
          <w:b/>
          <w:spacing w:val="1"/>
        </w:rPr>
        <w:fldChar w:fldCharType="separate"/>
      </w:r>
      <w:r w:rsidRPr="000A47B2">
        <w:rPr>
          <w:b/>
          <w:noProof/>
        </w:rPr>
        <w:t>Gráfic</w:t>
      </w:r>
      <w:r w:rsidR="008A2C09">
        <w:rPr>
          <w:b/>
          <w:noProof/>
        </w:rPr>
        <w:t>a</w:t>
      </w:r>
      <w:r w:rsidRPr="000A47B2">
        <w:rPr>
          <w:b/>
          <w:noProof/>
        </w:rPr>
        <w:t xml:space="preserve"> 1 Inversión asignada y ejecutada Por eje de la Política General de Gobierno Ejercicio Fiscal 2019 (Millones de Quetzales)</w:t>
      </w:r>
      <w:r>
        <w:rPr>
          <w:noProof/>
        </w:rPr>
        <w:tab/>
      </w:r>
      <w:r>
        <w:rPr>
          <w:noProof/>
        </w:rPr>
        <w:fldChar w:fldCharType="begin"/>
      </w:r>
      <w:r>
        <w:rPr>
          <w:noProof/>
        </w:rPr>
        <w:instrText xml:space="preserve"> PAGEREF _Toc19527384 \h </w:instrText>
      </w:r>
      <w:r>
        <w:rPr>
          <w:noProof/>
        </w:rPr>
      </w:r>
      <w:r>
        <w:rPr>
          <w:noProof/>
        </w:rPr>
        <w:fldChar w:fldCharType="separate"/>
      </w:r>
      <w:r w:rsidR="00205E51">
        <w:rPr>
          <w:noProof/>
        </w:rPr>
        <w:t>14</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w:t>
      </w:r>
      <w:r w:rsidR="008A2C09">
        <w:rPr>
          <w:b/>
          <w:noProof/>
        </w:rPr>
        <w:t>a</w:t>
      </w:r>
      <w:r w:rsidRPr="000A47B2">
        <w:rPr>
          <w:b/>
          <w:noProof/>
        </w:rPr>
        <w:t xml:space="preserve"> 2 Distribución de la inversión asignada y ejecutada por nivel de decisión Ejercicio Fiscal 2019, (Millones de Quetzales)</w:t>
      </w:r>
      <w:r>
        <w:rPr>
          <w:noProof/>
        </w:rPr>
        <w:tab/>
      </w:r>
      <w:r>
        <w:rPr>
          <w:noProof/>
        </w:rPr>
        <w:fldChar w:fldCharType="begin"/>
      </w:r>
      <w:r>
        <w:rPr>
          <w:noProof/>
        </w:rPr>
        <w:instrText xml:space="preserve"> PAGEREF _Toc19527385 \h </w:instrText>
      </w:r>
      <w:r>
        <w:rPr>
          <w:noProof/>
        </w:rPr>
      </w:r>
      <w:r>
        <w:rPr>
          <w:noProof/>
        </w:rPr>
        <w:fldChar w:fldCharType="separate"/>
      </w:r>
      <w:r w:rsidR="00205E51">
        <w:rPr>
          <w:noProof/>
        </w:rPr>
        <w:t>15</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 xml:space="preserve">Gráfica 3 </w:t>
      </w:r>
      <w:r w:rsidRPr="008D7C17">
        <w:rPr>
          <w:b/>
          <w:noProof/>
        </w:rPr>
        <w:t>Presupuesto</w:t>
      </w:r>
      <w:r w:rsidRPr="000A47B2">
        <w:rPr>
          <w:b/>
          <w:noProof/>
        </w:rPr>
        <w:t xml:space="preserve"> de donaciones Enero - Agosto 2019 Asignado - Vigente – Ejecutado (Expresado en Millones de Quetzales)</w:t>
      </w:r>
      <w:r>
        <w:rPr>
          <w:noProof/>
        </w:rPr>
        <w:tab/>
      </w:r>
      <w:r>
        <w:rPr>
          <w:noProof/>
        </w:rPr>
        <w:fldChar w:fldCharType="begin"/>
      </w:r>
      <w:r>
        <w:rPr>
          <w:noProof/>
        </w:rPr>
        <w:instrText xml:space="preserve"> PAGEREF _Toc19527386 \h </w:instrText>
      </w:r>
      <w:r>
        <w:rPr>
          <w:noProof/>
        </w:rPr>
      </w:r>
      <w:r>
        <w:rPr>
          <w:noProof/>
        </w:rPr>
        <w:fldChar w:fldCharType="separate"/>
      </w:r>
      <w:r w:rsidR="00205E51">
        <w:rPr>
          <w:noProof/>
        </w:rPr>
        <w:t>20</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4 Comportamiento de la Ejecución entre el Cuatrimestre 1 y 2 de 2019 (Expresado en Millones de Quetzales)</w:t>
      </w:r>
      <w:r>
        <w:rPr>
          <w:noProof/>
        </w:rPr>
        <w:tab/>
      </w:r>
      <w:r>
        <w:rPr>
          <w:noProof/>
        </w:rPr>
        <w:fldChar w:fldCharType="begin"/>
      </w:r>
      <w:r>
        <w:rPr>
          <w:noProof/>
        </w:rPr>
        <w:instrText xml:space="preserve"> PAGEREF _Toc19527387 \h </w:instrText>
      </w:r>
      <w:r>
        <w:rPr>
          <w:noProof/>
        </w:rPr>
      </w:r>
      <w:r>
        <w:rPr>
          <w:noProof/>
        </w:rPr>
        <w:fldChar w:fldCharType="separate"/>
      </w:r>
      <w:r w:rsidR="00205E51">
        <w:rPr>
          <w:noProof/>
        </w:rPr>
        <w:t>25</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5 Presupuesto de donaciones Asignado Enero versus Vigente Agosto 2019 Fuente Cooperante (Expresado en Millones de Quetzales)</w:t>
      </w:r>
      <w:r>
        <w:rPr>
          <w:noProof/>
        </w:rPr>
        <w:tab/>
      </w:r>
      <w:r>
        <w:rPr>
          <w:noProof/>
        </w:rPr>
        <w:fldChar w:fldCharType="begin"/>
      </w:r>
      <w:r>
        <w:rPr>
          <w:noProof/>
        </w:rPr>
        <w:instrText xml:space="preserve"> PAGEREF _Toc19527388 \h </w:instrText>
      </w:r>
      <w:r>
        <w:rPr>
          <w:noProof/>
        </w:rPr>
      </w:r>
      <w:r>
        <w:rPr>
          <w:noProof/>
        </w:rPr>
        <w:fldChar w:fldCharType="separate"/>
      </w:r>
      <w:r w:rsidR="00205E51">
        <w:rPr>
          <w:noProof/>
        </w:rPr>
        <w:t>26</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6 Distribución del presupuesto asignado - vigente - Fuente cooperante Enero - Agosto de 2019 (Expresado en Millones de Quetzales)</w:t>
      </w:r>
      <w:r>
        <w:rPr>
          <w:noProof/>
        </w:rPr>
        <w:tab/>
      </w:r>
      <w:r>
        <w:rPr>
          <w:noProof/>
        </w:rPr>
        <w:fldChar w:fldCharType="begin"/>
      </w:r>
      <w:r>
        <w:rPr>
          <w:noProof/>
        </w:rPr>
        <w:instrText xml:space="preserve"> PAGEREF _Toc19527389 \h </w:instrText>
      </w:r>
      <w:r>
        <w:rPr>
          <w:noProof/>
        </w:rPr>
      </w:r>
      <w:r>
        <w:rPr>
          <w:noProof/>
        </w:rPr>
        <w:fldChar w:fldCharType="separate"/>
      </w:r>
      <w:r w:rsidR="00205E51">
        <w:rPr>
          <w:noProof/>
        </w:rPr>
        <w:t>27</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7 Ejecución Presupuestaria del Ministerio de Agricultura Ganadería y Alimentación Segundo cuatrimestre Ejercicio Fiscal 2019 En Millones de Q</w:t>
      </w:r>
      <w:r>
        <w:rPr>
          <w:noProof/>
        </w:rPr>
        <w:tab/>
      </w:r>
      <w:r>
        <w:rPr>
          <w:noProof/>
        </w:rPr>
        <w:fldChar w:fldCharType="begin"/>
      </w:r>
      <w:r>
        <w:rPr>
          <w:noProof/>
        </w:rPr>
        <w:instrText xml:space="preserve"> PAGEREF _Toc19527390 \h </w:instrText>
      </w:r>
      <w:r>
        <w:rPr>
          <w:noProof/>
        </w:rPr>
      </w:r>
      <w:r>
        <w:rPr>
          <w:noProof/>
        </w:rPr>
        <w:fldChar w:fldCharType="separate"/>
      </w:r>
      <w:r w:rsidR="00205E51">
        <w:rPr>
          <w:noProof/>
        </w:rPr>
        <w:t>30</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8 Ejecución presupuestaria Ministerio de Ambiente y Recursos Naturales Ejercicio Fiscal 2do Cuatrimestre 2019 En millones de Q</w:t>
      </w:r>
      <w:r>
        <w:rPr>
          <w:noProof/>
        </w:rPr>
        <w:tab/>
      </w:r>
      <w:r>
        <w:rPr>
          <w:noProof/>
        </w:rPr>
        <w:fldChar w:fldCharType="begin"/>
      </w:r>
      <w:r>
        <w:rPr>
          <w:noProof/>
        </w:rPr>
        <w:instrText xml:space="preserve"> PAGEREF _Toc19527391 \h </w:instrText>
      </w:r>
      <w:r>
        <w:rPr>
          <w:noProof/>
        </w:rPr>
      </w:r>
      <w:r>
        <w:rPr>
          <w:noProof/>
        </w:rPr>
        <w:fldChar w:fldCharType="separate"/>
      </w:r>
      <w:r w:rsidR="00205E51">
        <w:rPr>
          <w:noProof/>
        </w:rPr>
        <w:t>31</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9 Ejecución presupuestaria Ministerio de Cultura y Deportes Ejercicio Fiscal 2do cuatrimestre 2019 En millones de Q</w:t>
      </w:r>
      <w:r>
        <w:rPr>
          <w:noProof/>
        </w:rPr>
        <w:tab/>
      </w:r>
      <w:r>
        <w:rPr>
          <w:noProof/>
        </w:rPr>
        <w:fldChar w:fldCharType="begin"/>
      </w:r>
      <w:r>
        <w:rPr>
          <w:noProof/>
        </w:rPr>
        <w:instrText xml:space="preserve"> PAGEREF _Toc19527392 \h </w:instrText>
      </w:r>
      <w:r>
        <w:rPr>
          <w:noProof/>
        </w:rPr>
      </w:r>
      <w:r>
        <w:rPr>
          <w:noProof/>
        </w:rPr>
        <w:fldChar w:fldCharType="separate"/>
      </w:r>
      <w:r w:rsidR="00205E51">
        <w:rPr>
          <w:noProof/>
        </w:rPr>
        <w:t>35</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10 Ejecución de presupuesto del Ministerio de Comunicaciones, Infraestructura y Vivienda Mayo - Agosto 2019 En millones de Q</w:t>
      </w:r>
      <w:r>
        <w:rPr>
          <w:noProof/>
        </w:rPr>
        <w:tab/>
      </w:r>
      <w:r>
        <w:rPr>
          <w:noProof/>
        </w:rPr>
        <w:fldChar w:fldCharType="begin"/>
      </w:r>
      <w:r>
        <w:rPr>
          <w:noProof/>
        </w:rPr>
        <w:instrText xml:space="preserve"> PAGEREF _Toc19527393 \h </w:instrText>
      </w:r>
      <w:r>
        <w:rPr>
          <w:noProof/>
        </w:rPr>
      </w:r>
      <w:r>
        <w:rPr>
          <w:noProof/>
        </w:rPr>
        <w:fldChar w:fldCharType="separate"/>
      </w:r>
      <w:r w:rsidR="00205E51">
        <w:rPr>
          <w:noProof/>
        </w:rPr>
        <w:t>40</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11 Ejecución presupuestaria Ministerio de Desarrollo Social Ejercicio Fiscal 2do Cuatrimestre 2019 En millones de Q</w:t>
      </w:r>
      <w:r>
        <w:rPr>
          <w:noProof/>
        </w:rPr>
        <w:tab/>
      </w:r>
      <w:r>
        <w:rPr>
          <w:noProof/>
        </w:rPr>
        <w:fldChar w:fldCharType="begin"/>
      </w:r>
      <w:r>
        <w:rPr>
          <w:noProof/>
        </w:rPr>
        <w:instrText xml:space="preserve"> PAGEREF _Toc19527394 \h </w:instrText>
      </w:r>
      <w:r>
        <w:rPr>
          <w:noProof/>
        </w:rPr>
      </w:r>
      <w:r>
        <w:rPr>
          <w:noProof/>
        </w:rPr>
        <w:fldChar w:fldCharType="separate"/>
      </w:r>
      <w:r w:rsidR="00205E51">
        <w:rPr>
          <w:noProof/>
        </w:rPr>
        <w:t>41</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12 Ejecución presupuestaria del Ministerio de Trabajo y Previsión Social Mayo – agosto 2019 En millones de Q</w:t>
      </w:r>
      <w:r>
        <w:rPr>
          <w:noProof/>
        </w:rPr>
        <w:tab/>
      </w:r>
      <w:r>
        <w:rPr>
          <w:noProof/>
        </w:rPr>
        <w:fldChar w:fldCharType="begin"/>
      </w:r>
      <w:r>
        <w:rPr>
          <w:noProof/>
        </w:rPr>
        <w:instrText xml:space="preserve"> PAGEREF _Toc19527395 \h </w:instrText>
      </w:r>
      <w:r>
        <w:rPr>
          <w:noProof/>
        </w:rPr>
      </w:r>
      <w:r>
        <w:rPr>
          <w:noProof/>
        </w:rPr>
        <w:fldChar w:fldCharType="separate"/>
      </w:r>
      <w:r w:rsidR="00205E51">
        <w:rPr>
          <w:noProof/>
        </w:rPr>
        <w:t>43</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13 Ejecución presupuestaria del Ministerio de Economía Mayo - agosto 2019 En millones de Q</w:t>
      </w:r>
      <w:r>
        <w:rPr>
          <w:noProof/>
        </w:rPr>
        <w:tab/>
      </w:r>
      <w:r>
        <w:rPr>
          <w:noProof/>
        </w:rPr>
        <w:fldChar w:fldCharType="begin"/>
      </w:r>
      <w:r>
        <w:rPr>
          <w:noProof/>
        </w:rPr>
        <w:instrText xml:space="preserve"> PAGEREF _Toc19527396 \h </w:instrText>
      </w:r>
      <w:r>
        <w:rPr>
          <w:noProof/>
        </w:rPr>
      </w:r>
      <w:r>
        <w:rPr>
          <w:noProof/>
        </w:rPr>
        <w:fldChar w:fldCharType="separate"/>
      </w:r>
      <w:r w:rsidR="00205E51">
        <w:rPr>
          <w:noProof/>
        </w:rPr>
        <w:t>46</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14 Ejecución Presupuestaria del Ministerio de Educación Segundo cuatrimestre mayo – agosto 2019 En millones de Quetzales</w:t>
      </w:r>
      <w:r>
        <w:rPr>
          <w:noProof/>
        </w:rPr>
        <w:tab/>
      </w:r>
      <w:r>
        <w:rPr>
          <w:noProof/>
        </w:rPr>
        <w:fldChar w:fldCharType="begin"/>
      </w:r>
      <w:r>
        <w:rPr>
          <w:noProof/>
        </w:rPr>
        <w:instrText xml:space="preserve"> PAGEREF _Toc19527397 \h </w:instrText>
      </w:r>
      <w:r>
        <w:rPr>
          <w:noProof/>
        </w:rPr>
      </w:r>
      <w:r>
        <w:rPr>
          <w:noProof/>
        </w:rPr>
        <w:fldChar w:fldCharType="separate"/>
      </w:r>
      <w:r w:rsidR="00205E51">
        <w:rPr>
          <w:noProof/>
        </w:rPr>
        <w:t>47</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15 Ejecución presupuestaria Ministerio de Energía y Minas Ejercicio Fiscal 2do Cuatrimestre 2019 En millones de Q</w:t>
      </w:r>
      <w:r>
        <w:rPr>
          <w:noProof/>
        </w:rPr>
        <w:tab/>
      </w:r>
      <w:r>
        <w:rPr>
          <w:noProof/>
        </w:rPr>
        <w:fldChar w:fldCharType="begin"/>
      </w:r>
      <w:r>
        <w:rPr>
          <w:noProof/>
        </w:rPr>
        <w:instrText xml:space="preserve"> PAGEREF _Toc19527398 \h </w:instrText>
      </w:r>
      <w:r>
        <w:rPr>
          <w:noProof/>
        </w:rPr>
      </w:r>
      <w:r>
        <w:rPr>
          <w:noProof/>
        </w:rPr>
        <w:fldChar w:fldCharType="separate"/>
      </w:r>
      <w:r w:rsidR="00205E51">
        <w:rPr>
          <w:noProof/>
        </w:rPr>
        <w:t>48</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16 Ejecución Presupuestaría Ministerio de Finanzas Públicas Ejercicio Fiscal 2do Cuatrimestre 2019 En millones de Q</w:t>
      </w:r>
      <w:r>
        <w:rPr>
          <w:noProof/>
        </w:rPr>
        <w:tab/>
      </w:r>
      <w:r>
        <w:rPr>
          <w:noProof/>
        </w:rPr>
        <w:fldChar w:fldCharType="begin"/>
      </w:r>
      <w:r>
        <w:rPr>
          <w:noProof/>
        </w:rPr>
        <w:instrText xml:space="preserve"> PAGEREF _Toc19527399 \h </w:instrText>
      </w:r>
      <w:r>
        <w:rPr>
          <w:noProof/>
        </w:rPr>
      </w:r>
      <w:r>
        <w:rPr>
          <w:noProof/>
        </w:rPr>
        <w:fldChar w:fldCharType="separate"/>
      </w:r>
      <w:r w:rsidR="00205E51">
        <w:rPr>
          <w:noProof/>
        </w:rPr>
        <w:t>49</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lastRenderedPageBreak/>
        <w:t>Gráfica 17 Ejecución presupuestaria Ministerio de Gobernación Ejercicio Fiscal 2do Cuatrimestre 2019 En millones de Q</w:t>
      </w:r>
      <w:r>
        <w:rPr>
          <w:noProof/>
        </w:rPr>
        <w:tab/>
      </w:r>
      <w:r>
        <w:rPr>
          <w:noProof/>
        </w:rPr>
        <w:fldChar w:fldCharType="begin"/>
      </w:r>
      <w:r>
        <w:rPr>
          <w:noProof/>
        </w:rPr>
        <w:instrText xml:space="preserve"> PAGEREF _Toc19527400 \h </w:instrText>
      </w:r>
      <w:r>
        <w:rPr>
          <w:noProof/>
        </w:rPr>
      </w:r>
      <w:r>
        <w:rPr>
          <w:noProof/>
        </w:rPr>
        <w:fldChar w:fldCharType="separate"/>
      </w:r>
      <w:r w:rsidR="00205E51">
        <w:rPr>
          <w:noProof/>
        </w:rPr>
        <w:t>50</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18 Ejecución presupuestaria Ministerio de Relaciones Exteriores Ejercicio Fiscal 2do Cuatrimestre 2019 En millones de Q</w:t>
      </w:r>
      <w:r>
        <w:rPr>
          <w:noProof/>
        </w:rPr>
        <w:tab/>
      </w:r>
      <w:r>
        <w:rPr>
          <w:noProof/>
        </w:rPr>
        <w:fldChar w:fldCharType="begin"/>
      </w:r>
      <w:r>
        <w:rPr>
          <w:noProof/>
        </w:rPr>
        <w:instrText xml:space="preserve"> PAGEREF _Toc19527401 \h </w:instrText>
      </w:r>
      <w:r>
        <w:rPr>
          <w:noProof/>
        </w:rPr>
      </w:r>
      <w:r>
        <w:rPr>
          <w:noProof/>
        </w:rPr>
        <w:fldChar w:fldCharType="separate"/>
      </w:r>
      <w:r w:rsidR="00205E51">
        <w:rPr>
          <w:noProof/>
        </w:rPr>
        <w:t>52</w:t>
      </w:r>
      <w:r>
        <w:rPr>
          <w:noProof/>
        </w:rPr>
        <w:fldChar w:fldCharType="end"/>
      </w:r>
    </w:p>
    <w:p w:rsidR="00985E6E" w:rsidRDefault="00985E6E">
      <w:pPr>
        <w:pStyle w:val="TDC5"/>
        <w:tabs>
          <w:tab w:val="right" w:leader="dot" w:pos="9204"/>
        </w:tabs>
        <w:rPr>
          <w:rFonts w:asciiTheme="minorHAnsi" w:eastAsiaTheme="minorEastAsia" w:hAnsiTheme="minorHAnsi"/>
          <w:noProof/>
          <w:lang w:eastAsia="es-GT"/>
        </w:rPr>
      </w:pPr>
      <w:r w:rsidRPr="000A47B2">
        <w:rPr>
          <w:b/>
          <w:noProof/>
        </w:rPr>
        <w:t>Gráfica 19 Ejecución presupuestaria Ministerio de Salud Pública y Asistencia Social Ejercicio Fiscal 2do Cuatrimestre 2019 En millones de quetzales</w:t>
      </w:r>
      <w:r>
        <w:rPr>
          <w:noProof/>
        </w:rPr>
        <w:tab/>
      </w:r>
      <w:r>
        <w:rPr>
          <w:noProof/>
        </w:rPr>
        <w:fldChar w:fldCharType="begin"/>
      </w:r>
      <w:r>
        <w:rPr>
          <w:noProof/>
        </w:rPr>
        <w:instrText xml:space="preserve"> PAGEREF _Toc19527402 \h </w:instrText>
      </w:r>
      <w:r>
        <w:rPr>
          <w:noProof/>
        </w:rPr>
      </w:r>
      <w:r>
        <w:rPr>
          <w:noProof/>
        </w:rPr>
        <w:fldChar w:fldCharType="separate"/>
      </w:r>
      <w:r w:rsidR="00205E51">
        <w:rPr>
          <w:noProof/>
        </w:rPr>
        <w:t>53</w:t>
      </w:r>
      <w:r>
        <w:rPr>
          <w:noProof/>
        </w:rPr>
        <w:fldChar w:fldCharType="end"/>
      </w:r>
    </w:p>
    <w:p w:rsidR="009B30CD" w:rsidRPr="007223FB" w:rsidRDefault="00985E6E" w:rsidP="00DD1560">
      <w:pPr>
        <w:spacing w:before="36" w:after="0" w:line="240" w:lineRule="auto"/>
        <w:ind w:right="3504"/>
        <w:rPr>
          <w:rFonts w:eastAsia="Candara" w:cs="Candara"/>
          <w:b/>
          <w:spacing w:val="1"/>
        </w:rPr>
      </w:pPr>
      <w:r>
        <w:rPr>
          <w:rFonts w:eastAsia="Candara" w:cs="Candara"/>
          <w:b/>
          <w:spacing w:val="1"/>
        </w:rPr>
        <w:fldChar w:fldCharType="end"/>
      </w:r>
    </w:p>
    <w:p w:rsidR="00D1423B" w:rsidRPr="007223FB" w:rsidRDefault="00D1423B" w:rsidP="00DD1560">
      <w:pPr>
        <w:spacing w:before="36" w:after="0" w:line="240" w:lineRule="auto"/>
        <w:ind w:right="3504"/>
        <w:rPr>
          <w:rFonts w:eastAsia="Candara" w:cs="Candara"/>
          <w:b/>
          <w:spacing w:val="1"/>
        </w:rPr>
      </w:pPr>
    </w:p>
    <w:p w:rsidR="00C147A0" w:rsidRDefault="00C147A0" w:rsidP="00DD1560">
      <w:pPr>
        <w:spacing w:before="36" w:after="0" w:line="240" w:lineRule="auto"/>
        <w:ind w:right="3504"/>
        <w:rPr>
          <w:rFonts w:eastAsia="Candara" w:cs="Candara"/>
          <w:b/>
          <w:spacing w:val="1"/>
        </w:rPr>
      </w:pPr>
    </w:p>
    <w:p w:rsidR="00C147A0" w:rsidRPr="00C147A0" w:rsidRDefault="00C147A0" w:rsidP="00C147A0">
      <w:pPr>
        <w:rPr>
          <w:rFonts w:eastAsia="Candara" w:cs="Candara"/>
        </w:rPr>
      </w:pPr>
    </w:p>
    <w:p w:rsidR="00C147A0" w:rsidRPr="00C147A0" w:rsidRDefault="00C147A0" w:rsidP="00C147A0">
      <w:pPr>
        <w:rPr>
          <w:rFonts w:eastAsia="Candara" w:cs="Candara"/>
        </w:rPr>
      </w:pPr>
    </w:p>
    <w:p w:rsidR="00C147A0" w:rsidRPr="00C147A0" w:rsidRDefault="00C147A0" w:rsidP="00C147A0">
      <w:pPr>
        <w:rPr>
          <w:rFonts w:eastAsia="Candara" w:cs="Candara"/>
        </w:rPr>
      </w:pPr>
    </w:p>
    <w:p w:rsidR="00C147A0" w:rsidRPr="00C147A0" w:rsidRDefault="00C147A0" w:rsidP="00C147A0">
      <w:pPr>
        <w:rPr>
          <w:rFonts w:eastAsia="Candara" w:cs="Candara"/>
        </w:rPr>
      </w:pPr>
    </w:p>
    <w:p w:rsidR="00C147A0" w:rsidRDefault="00C147A0" w:rsidP="00C147A0">
      <w:pPr>
        <w:rPr>
          <w:rFonts w:eastAsia="Candara" w:cs="Candara"/>
        </w:rPr>
      </w:pPr>
    </w:p>
    <w:p w:rsidR="00E73EEB" w:rsidRPr="00C147A0" w:rsidRDefault="00C147A0" w:rsidP="00C147A0">
      <w:pPr>
        <w:tabs>
          <w:tab w:val="center" w:pos="4607"/>
        </w:tabs>
        <w:rPr>
          <w:rFonts w:eastAsia="Candara" w:cs="Candara"/>
        </w:rPr>
        <w:sectPr w:rsidR="00E73EEB" w:rsidRPr="00C147A0" w:rsidSect="00E73EEB">
          <w:footerReference w:type="default" r:id="rId10"/>
          <w:pgSz w:w="12240" w:h="15840"/>
          <w:pgMar w:top="1276" w:right="1325" w:bottom="1417" w:left="1701" w:header="708" w:footer="708" w:gutter="0"/>
          <w:pgNumType w:fmt="lowerRoman" w:start="1"/>
          <w:cols w:space="708"/>
          <w:titlePg/>
          <w:docGrid w:linePitch="360"/>
        </w:sectPr>
      </w:pPr>
      <w:r>
        <w:rPr>
          <w:rFonts w:eastAsia="Candara" w:cs="Candara"/>
        </w:rPr>
        <w:tab/>
      </w:r>
    </w:p>
    <w:p w:rsidR="007D0929" w:rsidRPr="00E73EEB" w:rsidRDefault="007D0929" w:rsidP="00E73EEB">
      <w:pPr>
        <w:pStyle w:val="Ttulo1"/>
        <w:shd w:val="clear" w:color="auto" w:fill="BDD6EE" w:themeFill="accent1" w:themeFillTint="66"/>
        <w:rPr>
          <w:rFonts w:eastAsia="Times New Roman"/>
          <w:i w:val="0"/>
          <w:lang w:val="es-ES" w:eastAsia="es-ES"/>
        </w:rPr>
      </w:pPr>
      <w:bookmarkStart w:id="1" w:name="_Toc19527415"/>
      <w:r w:rsidRPr="00E73EEB">
        <w:rPr>
          <w:rFonts w:eastAsia="Times New Roman"/>
          <w:i w:val="0"/>
          <w:lang w:val="es-ES" w:eastAsia="es-ES"/>
        </w:rPr>
        <w:lastRenderedPageBreak/>
        <w:t>Presentación</w:t>
      </w:r>
      <w:bookmarkEnd w:id="1"/>
    </w:p>
    <w:p w:rsidR="007D0929" w:rsidRPr="007223FB" w:rsidRDefault="007D0929" w:rsidP="006C13F5">
      <w:pPr>
        <w:spacing w:before="120" w:after="120" w:line="240" w:lineRule="auto"/>
        <w:ind w:right="57"/>
        <w:rPr>
          <w:rFonts w:eastAsia="Candara" w:cs="Candara"/>
        </w:rPr>
      </w:pPr>
      <w:r w:rsidRPr="007223FB">
        <w:rPr>
          <w:rFonts w:eastAsia="Candara" w:cs="Candara"/>
          <w:spacing w:val="1"/>
        </w:rPr>
        <w:t>E</w:t>
      </w:r>
      <w:r w:rsidRPr="007223FB">
        <w:rPr>
          <w:rFonts w:eastAsia="Candara" w:cs="Candara"/>
        </w:rPr>
        <w:t>l</w:t>
      </w:r>
      <w:r w:rsidRPr="007223FB">
        <w:rPr>
          <w:rFonts w:eastAsia="Candara" w:cs="Candara"/>
          <w:spacing w:val="1"/>
        </w:rPr>
        <w:t xml:space="preserve"> presente </w:t>
      </w:r>
      <w:r w:rsidRPr="007223FB">
        <w:rPr>
          <w:rFonts w:eastAsia="Candara" w:cs="Candara"/>
          <w:spacing w:val="-1"/>
        </w:rPr>
        <w:t>I</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me</w:t>
      </w:r>
      <w:r w:rsidRPr="007223FB">
        <w:rPr>
          <w:rFonts w:eastAsia="Candara" w:cs="Candara"/>
          <w:spacing w:val="1"/>
        </w:rPr>
        <w:t xml:space="preserve"> C</w:t>
      </w:r>
      <w:r w:rsidRPr="007223FB">
        <w:rPr>
          <w:rFonts w:eastAsia="Candara" w:cs="Candara"/>
          <w:spacing w:val="-3"/>
        </w:rPr>
        <w:t>u</w:t>
      </w:r>
      <w:r w:rsidRPr="007223FB">
        <w:rPr>
          <w:rFonts w:eastAsia="Candara" w:cs="Candara"/>
        </w:rPr>
        <w:t>at</w:t>
      </w:r>
      <w:r w:rsidRPr="007223FB">
        <w:rPr>
          <w:rFonts w:eastAsia="Candara" w:cs="Candara"/>
          <w:spacing w:val="1"/>
        </w:rPr>
        <w:t>r</w:t>
      </w:r>
      <w:r w:rsidRPr="007223FB">
        <w:rPr>
          <w:rFonts w:eastAsia="Candara" w:cs="Candara"/>
        </w:rPr>
        <w:t>ime</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 xml:space="preserve">al, corresponde al período comprendido de mayo –agosto de 2019, </w:t>
      </w:r>
      <w:r w:rsidR="009B24DB" w:rsidRPr="007223FB">
        <w:rPr>
          <w:rFonts w:eastAsia="Candara" w:cs="Candara"/>
        </w:rPr>
        <w:t xml:space="preserve">mismo que se </w:t>
      </w:r>
      <w:r w:rsidRPr="007223FB">
        <w:rPr>
          <w:rFonts w:eastAsia="Candara" w:cs="Candara"/>
        </w:rPr>
        <w:t>elab</w:t>
      </w:r>
      <w:r w:rsidRPr="007223FB">
        <w:rPr>
          <w:rFonts w:eastAsia="Candara" w:cs="Candara"/>
          <w:spacing w:val="-1"/>
        </w:rPr>
        <w:t>o</w:t>
      </w:r>
      <w:r w:rsidRPr="007223FB">
        <w:rPr>
          <w:rFonts w:eastAsia="Candara" w:cs="Candara"/>
          <w:spacing w:val="1"/>
        </w:rPr>
        <w:t>r</w:t>
      </w:r>
      <w:r w:rsidRPr="007223FB">
        <w:rPr>
          <w:rFonts w:eastAsia="Candara" w:cs="Candara"/>
        </w:rPr>
        <w:t xml:space="preserve">ó </w:t>
      </w:r>
      <w:r w:rsidRPr="007223FB">
        <w:rPr>
          <w:rFonts w:eastAsia="Candara" w:cs="Candara"/>
          <w:spacing w:val="1"/>
        </w:rPr>
        <w:t>d</w:t>
      </w:r>
      <w:r w:rsidRPr="007223FB">
        <w:rPr>
          <w:rFonts w:eastAsia="Candara" w:cs="Candara"/>
        </w:rPr>
        <w:t xml:space="preserve">e </w:t>
      </w:r>
      <w:r w:rsidRPr="007223FB">
        <w:rPr>
          <w:rFonts w:eastAsia="Candara" w:cs="Candara"/>
          <w:spacing w:val="1"/>
        </w:rPr>
        <w:t>c</w:t>
      </w:r>
      <w:r w:rsidRPr="007223FB">
        <w:rPr>
          <w:rFonts w:eastAsia="Candara" w:cs="Candara"/>
          <w:spacing w:val="-1"/>
        </w:rPr>
        <w:t>o</w:t>
      </w:r>
      <w:r w:rsidRPr="007223FB">
        <w:rPr>
          <w:rFonts w:eastAsia="Candara" w:cs="Candara"/>
          <w:spacing w:val="1"/>
        </w:rPr>
        <w:t>n</w:t>
      </w:r>
      <w:r w:rsidRPr="007223FB">
        <w:rPr>
          <w:rFonts w:eastAsia="Candara" w:cs="Candara"/>
        </w:rPr>
        <w:t>f</w:t>
      </w:r>
      <w:r w:rsidRPr="007223FB">
        <w:rPr>
          <w:rFonts w:eastAsia="Candara" w:cs="Candara"/>
          <w:spacing w:val="-3"/>
        </w:rPr>
        <w:t>o</w:t>
      </w:r>
      <w:r w:rsidRPr="007223FB">
        <w:rPr>
          <w:rFonts w:eastAsia="Candara" w:cs="Candara"/>
          <w:spacing w:val="1"/>
        </w:rPr>
        <w:t>r</w:t>
      </w:r>
      <w:r w:rsidRPr="007223FB">
        <w:rPr>
          <w:rFonts w:eastAsia="Candara" w:cs="Candara"/>
        </w:rPr>
        <w:t>mi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1"/>
        </w:rPr>
        <w:t xml:space="preserve"> c</w:t>
      </w:r>
      <w:r w:rsidRPr="007223FB">
        <w:rPr>
          <w:rFonts w:eastAsia="Candara" w:cs="Candara"/>
          <w:spacing w:val="-1"/>
        </w:rPr>
        <w:t>o</w:t>
      </w:r>
      <w:r w:rsidRPr="007223FB">
        <w:rPr>
          <w:rFonts w:eastAsia="Candara" w:cs="Candara"/>
        </w:rPr>
        <w:t>n</w:t>
      </w:r>
      <w:r w:rsidRPr="007223FB">
        <w:rPr>
          <w:rFonts w:eastAsia="Candara" w:cs="Candara"/>
          <w:spacing w:val="3"/>
        </w:rPr>
        <w:t xml:space="preserve"> </w:t>
      </w:r>
      <w:r w:rsidRPr="007223FB">
        <w:rPr>
          <w:rFonts w:eastAsia="Candara" w:cs="Candara"/>
          <w:spacing w:val="-2"/>
        </w:rPr>
        <w:t>l</w:t>
      </w:r>
      <w:r w:rsidRPr="007223FB">
        <w:rPr>
          <w:rFonts w:eastAsia="Candara" w:cs="Candara"/>
        </w:rPr>
        <w:t>o</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rPr>
        <w:t>table</w:t>
      </w:r>
      <w:r w:rsidRPr="007223FB">
        <w:rPr>
          <w:rFonts w:eastAsia="Candara" w:cs="Candara"/>
          <w:spacing w:val="1"/>
        </w:rPr>
        <w:t>c</w:t>
      </w:r>
      <w:r w:rsidRPr="007223FB">
        <w:rPr>
          <w:rFonts w:eastAsia="Candara" w:cs="Candara"/>
          <w:spacing w:val="-2"/>
        </w:rPr>
        <w:t>i</w:t>
      </w:r>
      <w:r w:rsidRPr="007223FB">
        <w:rPr>
          <w:rFonts w:eastAsia="Candara" w:cs="Candara"/>
          <w:spacing w:val="1"/>
        </w:rPr>
        <w:t>d</w:t>
      </w:r>
      <w:r w:rsidRPr="007223FB">
        <w:rPr>
          <w:rFonts w:eastAsia="Candara" w:cs="Candara"/>
        </w:rPr>
        <w:t>o</w:t>
      </w:r>
      <w:r w:rsidRPr="007223FB">
        <w:rPr>
          <w:rFonts w:eastAsia="Candara" w:cs="Candara"/>
          <w:spacing w:val="2"/>
        </w:rPr>
        <w:t xml:space="preserve"> </w:t>
      </w:r>
      <w:r w:rsidRPr="007223FB">
        <w:rPr>
          <w:rFonts w:eastAsia="Candara" w:cs="Candara"/>
        </w:rPr>
        <w:t>en</w:t>
      </w:r>
      <w:r w:rsidRPr="007223FB">
        <w:rPr>
          <w:rFonts w:eastAsia="Candara" w:cs="Candara"/>
          <w:spacing w:val="1"/>
        </w:rPr>
        <w:t xml:space="preserve"> </w:t>
      </w:r>
      <w:r w:rsidRPr="007223FB">
        <w:rPr>
          <w:rFonts w:eastAsia="Candara" w:cs="Candara"/>
        </w:rPr>
        <w:t>la Ley</w:t>
      </w:r>
      <w:r w:rsidRPr="007223FB">
        <w:rPr>
          <w:rFonts w:eastAsia="Candara" w:cs="Candara"/>
          <w:spacing w:val="4"/>
        </w:rPr>
        <w:t xml:space="preserve"> </w:t>
      </w:r>
      <w:r w:rsidRPr="007223FB">
        <w:rPr>
          <w:rFonts w:eastAsia="Candara" w:cs="Candara"/>
          <w:spacing w:val="-2"/>
        </w:rPr>
        <w:t>O</w:t>
      </w:r>
      <w:r w:rsidRPr="007223FB">
        <w:rPr>
          <w:rFonts w:eastAsia="Candara" w:cs="Candara"/>
          <w:spacing w:val="1"/>
        </w:rPr>
        <w:t>rg</w:t>
      </w:r>
      <w:r w:rsidRPr="007223FB">
        <w:rPr>
          <w:rFonts w:eastAsia="Candara" w:cs="Candara"/>
          <w:spacing w:val="-2"/>
        </w:rPr>
        <w:t>á</w:t>
      </w:r>
      <w:r w:rsidRPr="007223FB">
        <w:rPr>
          <w:rFonts w:eastAsia="Candara" w:cs="Candara"/>
          <w:spacing w:val="1"/>
        </w:rPr>
        <w:t>n</w:t>
      </w:r>
      <w:r w:rsidRPr="007223FB">
        <w:rPr>
          <w:rFonts w:eastAsia="Candara" w:cs="Candara"/>
        </w:rPr>
        <w:t>i</w:t>
      </w:r>
      <w:r w:rsidRPr="007223FB">
        <w:rPr>
          <w:rFonts w:eastAsia="Candara" w:cs="Candara"/>
          <w:spacing w:val="1"/>
        </w:rPr>
        <w:t>c</w:t>
      </w:r>
      <w:r w:rsidRPr="007223FB">
        <w:rPr>
          <w:rFonts w:eastAsia="Candara" w:cs="Candara"/>
        </w:rPr>
        <w:t>a</w:t>
      </w:r>
      <w:r w:rsidRPr="007223FB">
        <w:rPr>
          <w:rFonts w:eastAsia="Candara" w:cs="Candara"/>
          <w:spacing w:val="1"/>
        </w:rPr>
        <w:t xml:space="preserve"> d</w:t>
      </w:r>
      <w:r w:rsidRPr="007223FB">
        <w:rPr>
          <w:rFonts w:eastAsia="Candara" w:cs="Candara"/>
        </w:rPr>
        <w:t>el</w:t>
      </w:r>
      <w:r w:rsidRPr="007223FB">
        <w:rPr>
          <w:rFonts w:eastAsia="Candara" w:cs="Candara"/>
          <w:spacing w:val="1"/>
        </w:rPr>
        <w:t xml:space="preserve"> Pr</w:t>
      </w:r>
      <w:r w:rsidRPr="007223FB">
        <w:rPr>
          <w:rFonts w:eastAsia="Candara" w:cs="Candara"/>
          <w:spacing w:val="-3"/>
        </w:rPr>
        <w:t>e</w:t>
      </w:r>
      <w:r w:rsidRPr="007223FB">
        <w:rPr>
          <w:rFonts w:eastAsia="Candara" w:cs="Candara"/>
          <w:spacing w:val="1"/>
        </w:rPr>
        <w:t>s</w:t>
      </w:r>
      <w:r w:rsidRPr="007223FB">
        <w:rPr>
          <w:rFonts w:eastAsia="Candara" w:cs="Candara"/>
        </w:rPr>
        <w:t>u</w:t>
      </w:r>
      <w:r w:rsidRPr="007223FB">
        <w:rPr>
          <w:rFonts w:eastAsia="Candara" w:cs="Candara"/>
          <w:spacing w:val="-2"/>
        </w:rPr>
        <w:t>p</w:t>
      </w:r>
      <w:r w:rsidRPr="007223FB">
        <w:rPr>
          <w:rFonts w:eastAsia="Candara" w:cs="Candara"/>
        </w:rPr>
        <w:t>ue</w:t>
      </w:r>
      <w:r w:rsidRPr="007223FB">
        <w:rPr>
          <w:rFonts w:eastAsia="Candara" w:cs="Candara"/>
          <w:spacing w:val="1"/>
        </w:rPr>
        <w:t>s</w:t>
      </w:r>
      <w:r w:rsidRPr="007223FB">
        <w:rPr>
          <w:rFonts w:eastAsia="Candara" w:cs="Candara"/>
        </w:rPr>
        <w:t>to</w:t>
      </w:r>
      <w:r w:rsidRPr="007223FB">
        <w:rPr>
          <w:rFonts w:eastAsia="Candara" w:cs="Candara"/>
          <w:spacing w:val="3"/>
        </w:rPr>
        <w:t xml:space="preserve"> </w:t>
      </w:r>
      <w:r w:rsidRPr="007223FB">
        <w:rPr>
          <w:rFonts w:eastAsia="Candara" w:cs="Candara"/>
        </w:rPr>
        <w:t>y</w:t>
      </w:r>
      <w:r w:rsidRPr="007223FB">
        <w:rPr>
          <w:rFonts w:eastAsia="Candara" w:cs="Candara"/>
          <w:spacing w:val="2"/>
        </w:rPr>
        <w:t xml:space="preserve"> </w:t>
      </w:r>
      <w:r w:rsidRPr="007223FB">
        <w:rPr>
          <w:rFonts w:eastAsia="Candara" w:cs="Candara"/>
          <w:spacing w:val="1"/>
        </w:rPr>
        <w:t>s</w:t>
      </w:r>
      <w:r w:rsidRPr="007223FB">
        <w:rPr>
          <w:rFonts w:eastAsia="Candara" w:cs="Candara"/>
        </w:rPr>
        <w:t>us</w:t>
      </w:r>
      <w:r w:rsidRPr="007223FB">
        <w:rPr>
          <w:rFonts w:eastAsia="Candara" w:cs="Candara"/>
          <w:spacing w:val="2"/>
        </w:rPr>
        <w:t xml:space="preserve"> </w:t>
      </w:r>
      <w:r w:rsidRPr="007223FB">
        <w:rPr>
          <w:rFonts w:eastAsia="Candara" w:cs="Candara"/>
          <w:spacing w:val="1"/>
        </w:rPr>
        <w:t>r</w:t>
      </w:r>
      <w:r w:rsidRPr="007223FB">
        <w:rPr>
          <w:rFonts w:eastAsia="Candara" w:cs="Candara"/>
        </w:rPr>
        <w:t>ef</w:t>
      </w:r>
      <w:r w:rsidRPr="007223FB">
        <w:rPr>
          <w:rFonts w:eastAsia="Candara" w:cs="Candara"/>
          <w:spacing w:val="-1"/>
        </w:rPr>
        <w:t>o</w:t>
      </w:r>
      <w:r w:rsidRPr="007223FB">
        <w:rPr>
          <w:rFonts w:eastAsia="Candara" w:cs="Candara"/>
          <w:spacing w:val="1"/>
        </w:rPr>
        <w:t>r</w:t>
      </w:r>
      <w:r w:rsidRPr="007223FB">
        <w:rPr>
          <w:rFonts w:eastAsia="Candara" w:cs="Candara"/>
        </w:rPr>
        <w:t>m</w:t>
      </w:r>
      <w:r w:rsidRPr="007223FB">
        <w:rPr>
          <w:rFonts w:eastAsia="Candara" w:cs="Candara"/>
          <w:spacing w:val="-2"/>
        </w:rPr>
        <w:t>a</w:t>
      </w:r>
      <w:r w:rsidRPr="007223FB">
        <w:rPr>
          <w:rFonts w:eastAsia="Candara" w:cs="Candara"/>
          <w:spacing w:val="1"/>
        </w:rPr>
        <w:t>s</w:t>
      </w:r>
      <w:r w:rsidRPr="007223FB">
        <w:rPr>
          <w:rFonts w:eastAsia="Candara" w:cs="Candara"/>
        </w:rPr>
        <w:t>,</w:t>
      </w:r>
      <w:r w:rsidRPr="007223FB">
        <w:rPr>
          <w:rFonts w:eastAsia="Candara" w:cs="Candara"/>
          <w:spacing w:val="3"/>
        </w:rPr>
        <w:t xml:space="preserve"> </w:t>
      </w:r>
      <w:r w:rsidRPr="007223FB">
        <w:rPr>
          <w:rFonts w:eastAsia="Candara" w:cs="Candara"/>
          <w:spacing w:val="-2"/>
        </w:rPr>
        <w:t>D</w:t>
      </w:r>
      <w:r w:rsidRPr="007223FB">
        <w:rPr>
          <w:rFonts w:eastAsia="Candara" w:cs="Candara"/>
        </w:rPr>
        <w:t>e</w:t>
      </w:r>
      <w:r w:rsidRPr="007223FB">
        <w:rPr>
          <w:rFonts w:eastAsia="Candara" w:cs="Candara"/>
          <w:spacing w:val="1"/>
        </w:rPr>
        <w:t>cr</w:t>
      </w:r>
      <w:r w:rsidRPr="007223FB">
        <w:rPr>
          <w:rFonts w:eastAsia="Candara" w:cs="Candara"/>
        </w:rPr>
        <w:t>eto</w:t>
      </w:r>
      <w:r w:rsidRPr="007223FB">
        <w:rPr>
          <w:rFonts w:eastAsia="Candara" w:cs="Candara"/>
          <w:spacing w:val="2"/>
        </w:rPr>
        <w:t xml:space="preserve"> </w:t>
      </w:r>
      <w:r w:rsidRPr="007223FB">
        <w:rPr>
          <w:rFonts w:eastAsia="Candara" w:cs="Candara"/>
          <w:spacing w:val="-3"/>
        </w:rPr>
        <w:t>1</w:t>
      </w:r>
      <w:r w:rsidRPr="007223FB">
        <w:rPr>
          <w:rFonts w:eastAsia="Candara" w:cs="Candara"/>
          <w:spacing w:val="1"/>
        </w:rPr>
        <w:t>0</w:t>
      </w:r>
      <w:r w:rsidRPr="007223FB">
        <w:rPr>
          <w:rFonts w:eastAsia="Candara" w:cs="Candara"/>
        </w:rPr>
        <w:t>1-</w:t>
      </w:r>
      <w:r w:rsidRPr="007223FB">
        <w:rPr>
          <w:rFonts w:eastAsia="Candara" w:cs="Candara"/>
          <w:spacing w:val="-1"/>
        </w:rPr>
        <w:t>97</w:t>
      </w:r>
      <w:r w:rsidRPr="007223FB">
        <w:rPr>
          <w:rFonts w:eastAsia="Candara" w:cs="Candara"/>
        </w:rPr>
        <w:t>,</w:t>
      </w:r>
      <w:r w:rsidRPr="007223FB">
        <w:rPr>
          <w:rFonts w:eastAsia="Candara" w:cs="Candara"/>
          <w:spacing w:val="3"/>
        </w:rPr>
        <w:t xml:space="preserve"> </w:t>
      </w:r>
      <w:r w:rsidRPr="007223FB">
        <w:rPr>
          <w:rFonts w:eastAsia="Candara" w:cs="Candara"/>
          <w:spacing w:val="1"/>
        </w:rPr>
        <w:t>Ar</w:t>
      </w:r>
      <w:r w:rsidRPr="007223FB">
        <w:rPr>
          <w:rFonts w:eastAsia="Candara" w:cs="Candara"/>
        </w:rPr>
        <w:t>t</w:t>
      </w:r>
      <w:r w:rsidRPr="007223FB">
        <w:rPr>
          <w:rFonts w:eastAsia="Candara" w:cs="Candara"/>
          <w:spacing w:val="-2"/>
        </w:rPr>
        <w:t>í</w:t>
      </w:r>
      <w:r w:rsidRPr="007223FB">
        <w:rPr>
          <w:rFonts w:eastAsia="Candara" w:cs="Candara"/>
          <w:spacing w:val="1"/>
        </w:rPr>
        <w:t>c</w:t>
      </w:r>
      <w:r w:rsidRPr="007223FB">
        <w:rPr>
          <w:rFonts w:eastAsia="Candara" w:cs="Candara"/>
        </w:rPr>
        <w:t>ulo</w:t>
      </w:r>
      <w:r w:rsidRPr="007223FB">
        <w:rPr>
          <w:rFonts w:eastAsia="Candara" w:cs="Candara"/>
          <w:spacing w:val="3"/>
        </w:rPr>
        <w:t xml:space="preserve"> </w:t>
      </w:r>
      <w:r w:rsidRPr="007223FB">
        <w:rPr>
          <w:rFonts w:eastAsia="Candara" w:cs="Candara"/>
        </w:rPr>
        <w:t>17 Bi</w:t>
      </w:r>
      <w:r w:rsidRPr="007223FB">
        <w:rPr>
          <w:rFonts w:eastAsia="Candara" w:cs="Candara"/>
          <w:spacing w:val="1"/>
        </w:rPr>
        <w:t>s</w:t>
      </w:r>
      <w:r w:rsidRPr="007223FB">
        <w:rPr>
          <w:rFonts w:eastAsia="Candara" w:cs="Candara"/>
        </w:rPr>
        <w:t>:</w:t>
      </w:r>
      <w:r w:rsidRPr="007223FB">
        <w:rPr>
          <w:rFonts w:eastAsia="Candara" w:cs="Candara"/>
          <w:spacing w:val="1"/>
        </w:rPr>
        <w:t xml:space="preserve"> A</w:t>
      </w:r>
      <w:r w:rsidRPr="007223FB">
        <w:rPr>
          <w:rFonts w:eastAsia="Candara" w:cs="Candara"/>
          <w:spacing w:val="-1"/>
        </w:rPr>
        <w:t>c</w:t>
      </w:r>
      <w:r w:rsidRPr="007223FB">
        <w:rPr>
          <w:rFonts w:eastAsia="Candara" w:cs="Candara"/>
          <w:spacing w:val="1"/>
        </w:rPr>
        <w:t>c</w:t>
      </w:r>
      <w:r w:rsidRPr="007223FB">
        <w:rPr>
          <w:rFonts w:eastAsia="Candara" w:cs="Candara"/>
          <w:spacing w:val="-3"/>
        </w:rPr>
        <w:t>e</w:t>
      </w:r>
      <w:r w:rsidRPr="007223FB">
        <w:rPr>
          <w:rFonts w:eastAsia="Candara" w:cs="Candara"/>
          <w:spacing w:val="1"/>
        </w:rPr>
        <w:t>s</w:t>
      </w:r>
      <w:r w:rsidRPr="007223FB">
        <w:rPr>
          <w:rFonts w:eastAsia="Candara" w:cs="Candara"/>
        </w:rPr>
        <w:t>o</w:t>
      </w:r>
      <w:r w:rsidRPr="007223FB">
        <w:rPr>
          <w:rFonts w:eastAsia="Candara" w:cs="Candara"/>
          <w:spacing w:val="3"/>
        </w:rPr>
        <w:t xml:space="preserve"> </w:t>
      </w:r>
      <w:r w:rsidRPr="007223FB">
        <w:rPr>
          <w:rFonts w:eastAsia="Candara" w:cs="Candara"/>
        </w:rPr>
        <w:t>a</w:t>
      </w:r>
      <w:r w:rsidRPr="007223FB">
        <w:rPr>
          <w:rFonts w:eastAsia="Candara" w:cs="Candara"/>
          <w:spacing w:val="3"/>
        </w:rPr>
        <w:t xml:space="preserve"> </w:t>
      </w:r>
      <w:r w:rsidRPr="007223FB">
        <w:rPr>
          <w:rFonts w:eastAsia="Candara" w:cs="Candara"/>
        </w:rPr>
        <w:t xml:space="preserve">la </w:t>
      </w:r>
      <w:r w:rsidRPr="007223FB">
        <w:rPr>
          <w:rFonts w:eastAsia="Candara" w:cs="Candara"/>
          <w:spacing w:val="-1"/>
        </w:rPr>
        <w:t>I</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ma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25"/>
        </w:rPr>
        <w:t xml:space="preserve"> </w:t>
      </w:r>
      <w:r w:rsidRPr="007223FB">
        <w:rPr>
          <w:rFonts w:eastAsia="Candara" w:cs="Candara"/>
          <w:spacing w:val="1"/>
        </w:rPr>
        <w:t>d</w:t>
      </w:r>
      <w:r w:rsidRPr="007223FB">
        <w:rPr>
          <w:rFonts w:eastAsia="Candara" w:cs="Candara"/>
        </w:rPr>
        <w:t>e</w:t>
      </w:r>
      <w:r w:rsidRPr="007223FB">
        <w:rPr>
          <w:rFonts w:eastAsia="Candara" w:cs="Candara"/>
          <w:spacing w:val="27"/>
        </w:rPr>
        <w:t xml:space="preserve"> </w:t>
      </w:r>
      <w:r w:rsidRPr="007223FB">
        <w:rPr>
          <w:rFonts w:eastAsia="Candara" w:cs="Candara"/>
        </w:rPr>
        <w:t>la</w:t>
      </w:r>
      <w:r w:rsidRPr="007223FB">
        <w:rPr>
          <w:rFonts w:eastAsia="Candara" w:cs="Candara"/>
          <w:spacing w:val="27"/>
        </w:rPr>
        <w:t xml:space="preserve"> </w:t>
      </w:r>
      <w:r w:rsidRPr="007223FB">
        <w:rPr>
          <w:rFonts w:eastAsia="Candara" w:cs="Candara"/>
        </w:rPr>
        <w:t>G</w:t>
      </w:r>
      <w:r w:rsidRPr="007223FB">
        <w:rPr>
          <w:rFonts w:eastAsia="Candara" w:cs="Candara"/>
          <w:spacing w:val="-3"/>
        </w:rPr>
        <w:t>e</w:t>
      </w:r>
      <w:r w:rsidRPr="007223FB">
        <w:rPr>
          <w:rFonts w:eastAsia="Candara" w:cs="Candara"/>
          <w:spacing w:val="1"/>
        </w:rPr>
        <w:t>s</w:t>
      </w:r>
      <w:r w:rsidRPr="007223FB">
        <w:rPr>
          <w:rFonts w:eastAsia="Candara" w:cs="Candara"/>
        </w:rPr>
        <w:t>ti</w:t>
      </w:r>
      <w:r w:rsidRPr="007223FB">
        <w:rPr>
          <w:rFonts w:eastAsia="Candara" w:cs="Candara"/>
          <w:spacing w:val="-3"/>
        </w:rPr>
        <w:t>ó</w:t>
      </w:r>
      <w:r w:rsidRPr="007223FB">
        <w:rPr>
          <w:rFonts w:eastAsia="Candara" w:cs="Candara"/>
        </w:rPr>
        <w:t>n</w:t>
      </w:r>
      <w:r w:rsidRPr="007223FB">
        <w:rPr>
          <w:rFonts w:eastAsia="Candara" w:cs="Candara"/>
          <w:spacing w:val="28"/>
        </w:rPr>
        <w:t xml:space="preserve"> </w:t>
      </w:r>
      <w:r w:rsidRPr="007223FB">
        <w:rPr>
          <w:rFonts w:eastAsia="Candara" w:cs="Candara"/>
          <w:spacing w:val="1"/>
        </w:rPr>
        <w:t>Pr</w:t>
      </w:r>
      <w:r w:rsidRPr="007223FB">
        <w:rPr>
          <w:rFonts w:eastAsia="Candara" w:cs="Candara"/>
          <w:spacing w:val="-3"/>
        </w:rPr>
        <w:t>e</w:t>
      </w:r>
      <w:r w:rsidRPr="007223FB">
        <w:rPr>
          <w:rFonts w:eastAsia="Candara" w:cs="Candara"/>
          <w:spacing w:val="1"/>
        </w:rPr>
        <w:t>s</w:t>
      </w:r>
      <w:r w:rsidRPr="007223FB">
        <w:rPr>
          <w:rFonts w:eastAsia="Candara" w:cs="Candara"/>
        </w:rPr>
        <w:t>upue</w:t>
      </w:r>
      <w:r w:rsidRPr="007223FB">
        <w:rPr>
          <w:rFonts w:eastAsia="Candara" w:cs="Candara"/>
          <w:spacing w:val="1"/>
        </w:rPr>
        <w:t>s</w:t>
      </w:r>
      <w:r w:rsidRPr="007223FB">
        <w:rPr>
          <w:rFonts w:eastAsia="Candara" w:cs="Candara"/>
        </w:rPr>
        <w:t>t</w:t>
      </w:r>
      <w:r w:rsidRPr="007223FB">
        <w:rPr>
          <w:rFonts w:eastAsia="Candara" w:cs="Candara"/>
          <w:spacing w:val="-2"/>
        </w:rPr>
        <w:t>a</w:t>
      </w:r>
      <w:r w:rsidRPr="007223FB">
        <w:rPr>
          <w:rFonts w:eastAsia="Candara" w:cs="Candara"/>
          <w:spacing w:val="1"/>
        </w:rPr>
        <w:t>r</w:t>
      </w:r>
      <w:r w:rsidRPr="007223FB">
        <w:rPr>
          <w:rFonts w:eastAsia="Candara" w:cs="Candara"/>
        </w:rPr>
        <w:t>ia</w:t>
      </w:r>
      <w:r w:rsidRPr="007223FB">
        <w:rPr>
          <w:rFonts w:eastAsia="Candara" w:cs="Candara"/>
          <w:spacing w:val="27"/>
        </w:rPr>
        <w:t xml:space="preserve"> </w:t>
      </w:r>
      <w:r w:rsidRPr="007223FB">
        <w:rPr>
          <w:rFonts w:eastAsia="Candara" w:cs="Candara"/>
        </w:rPr>
        <w:t>p</w:t>
      </w:r>
      <w:r w:rsidRPr="007223FB">
        <w:rPr>
          <w:rFonts w:eastAsia="Candara" w:cs="Candara"/>
          <w:spacing w:val="-3"/>
        </w:rPr>
        <w:t>o</w:t>
      </w:r>
      <w:r w:rsidRPr="007223FB">
        <w:rPr>
          <w:rFonts w:eastAsia="Candara" w:cs="Candara"/>
        </w:rPr>
        <w:t>r</w:t>
      </w:r>
      <w:r w:rsidRPr="007223FB">
        <w:rPr>
          <w:rFonts w:eastAsia="Candara" w:cs="Candara"/>
          <w:spacing w:val="28"/>
        </w:rPr>
        <w:t xml:space="preserve"> </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2"/>
        </w:rPr>
        <w:t>o</w:t>
      </w:r>
      <w:r w:rsidRPr="007223FB">
        <w:rPr>
          <w:rFonts w:eastAsia="Candara" w:cs="Candara"/>
          <w:spacing w:val="1"/>
        </w:rPr>
        <w:t>s</w:t>
      </w:r>
      <w:r w:rsidRPr="007223FB">
        <w:rPr>
          <w:rFonts w:eastAsia="Candara" w:cs="Candara"/>
        </w:rPr>
        <w:t>.</w:t>
      </w:r>
      <w:r w:rsidRPr="007223FB">
        <w:rPr>
          <w:rFonts w:eastAsia="Candara" w:cs="Candara"/>
          <w:spacing w:val="27"/>
        </w:rPr>
        <w:t xml:space="preserve"> </w:t>
      </w:r>
      <w:r w:rsidRPr="007223FB">
        <w:rPr>
          <w:rFonts w:eastAsia="Candara" w:cs="Candara"/>
          <w:spacing w:val="-1"/>
        </w:rPr>
        <w:t>(*</w:t>
      </w:r>
      <w:r w:rsidRPr="007223FB">
        <w:rPr>
          <w:rFonts w:eastAsia="Candara" w:cs="Candara"/>
          <w:spacing w:val="1"/>
        </w:rPr>
        <w:t>R</w:t>
      </w:r>
      <w:r w:rsidRPr="007223FB">
        <w:rPr>
          <w:rFonts w:eastAsia="Candara" w:cs="Candara"/>
        </w:rPr>
        <w:t>ef</w:t>
      </w:r>
      <w:r w:rsidRPr="007223FB">
        <w:rPr>
          <w:rFonts w:eastAsia="Candara" w:cs="Candara"/>
          <w:spacing w:val="-1"/>
        </w:rPr>
        <w:t>o</w:t>
      </w:r>
      <w:r w:rsidRPr="007223FB">
        <w:rPr>
          <w:rFonts w:eastAsia="Candara" w:cs="Candara"/>
          <w:spacing w:val="1"/>
        </w:rPr>
        <w:t>r</w:t>
      </w:r>
      <w:r w:rsidRPr="007223FB">
        <w:rPr>
          <w:rFonts w:eastAsia="Candara" w:cs="Candara"/>
        </w:rPr>
        <w:t>m</w:t>
      </w:r>
      <w:r w:rsidRPr="007223FB">
        <w:rPr>
          <w:rFonts w:eastAsia="Candara" w:cs="Candara"/>
          <w:spacing w:val="-2"/>
        </w:rPr>
        <w:t>a</w:t>
      </w:r>
      <w:r w:rsidRPr="007223FB">
        <w:rPr>
          <w:rFonts w:eastAsia="Candara" w:cs="Candara"/>
          <w:spacing w:val="1"/>
        </w:rPr>
        <w:t>d</w:t>
      </w:r>
      <w:r w:rsidRPr="007223FB">
        <w:rPr>
          <w:rFonts w:eastAsia="Candara" w:cs="Candara"/>
        </w:rPr>
        <w:t>o</w:t>
      </w:r>
      <w:r w:rsidRPr="007223FB">
        <w:rPr>
          <w:rFonts w:eastAsia="Candara" w:cs="Candara"/>
          <w:spacing w:val="26"/>
        </w:rPr>
        <w:t xml:space="preserve"> </w:t>
      </w:r>
      <w:r w:rsidRPr="007223FB">
        <w:rPr>
          <w:rFonts w:eastAsia="Candara" w:cs="Candara"/>
        </w:rPr>
        <w:t>p</w:t>
      </w:r>
      <w:r w:rsidRPr="007223FB">
        <w:rPr>
          <w:rFonts w:eastAsia="Candara" w:cs="Candara"/>
          <w:spacing w:val="-3"/>
        </w:rPr>
        <w:t>o</w:t>
      </w:r>
      <w:r w:rsidRPr="007223FB">
        <w:rPr>
          <w:rFonts w:eastAsia="Candara" w:cs="Candara"/>
        </w:rPr>
        <w:t>r</w:t>
      </w:r>
      <w:r w:rsidRPr="007223FB">
        <w:rPr>
          <w:rFonts w:eastAsia="Candara" w:cs="Candara"/>
          <w:spacing w:val="28"/>
        </w:rPr>
        <w:t xml:space="preserve"> </w:t>
      </w:r>
      <w:r w:rsidRPr="007223FB">
        <w:rPr>
          <w:rFonts w:eastAsia="Candara" w:cs="Candara"/>
        </w:rPr>
        <w:t>el</w:t>
      </w:r>
      <w:r w:rsidRPr="007223FB">
        <w:rPr>
          <w:rFonts w:eastAsia="Candara" w:cs="Candara"/>
          <w:spacing w:val="27"/>
        </w:rPr>
        <w:t xml:space="preserve"> </w:t>
      </w:r>
      <w:r w:rsidRPr="007223FB">
        <w:rPr>
          <w:rFonts w:eastAsia="Candara" w:cs="Candara"/>
          <w:spacing w:val="-1"/>
        </w:rPr>
        <w:t>A</w:t>
      </w:r>
      <w:r w:rsidRPr="007223FB">
        <w:rPr>
          <w:rFonts w:eastAsia="Candara" w:cs="Candara"/>
          <w:spacing w:val="1"/>
        </w:rPr>
        <w:t>r</w:t>
      </w:r>
      <w:r w:rsidRPr="007223FB">
        <w:rPr>
          <w:rFonts w:eastAsia="Candara" w:cs="Candara"/>
        </w:rPr>
        <w:t>t</w:t>
      </w:r>
      <w:r w:rsidRPr="007223FB">
        <w:rPr>
          <w:rFonts w:eastAsia="Candara" w:cs="Candara"/>
          <w:spacing w:val="-2"/>
        </w:rPr>
        <w:t>í</w:t>
      </w:r>
      <w:r w:rsidRPr="007223FB">
        <w:rPr>
          <w:rFonts w:eastAsia="Candara" w:cs="Candara"/>
          <w:spacing w:val="1"/>
        </w:rPr>
        <w:t>c</w:t>
      </w:r>
      <w:r w:rsidRPr="007223FB">
        <w:rPr>
          <w:rFonts w:eastAsia="Candara" w:cs="Candara"/>
        </w:rPr>
        <w:t>ulo</w:t>
      </w:r>
      <w:r w:rsidRPr="007223FB">
        <w:rPr>
          <w:rFonts w:eastAsia="Candara" w:cs="Candara"/>
          <w:spacing w:val="26"/>
        </w:rPr>
        <w:t xml:space="preserve"> </w:t>
      </w:r>
      <w:r w:rsidRPr="007223FB">
        <w:rPr>
          <w:rFonts w:eastAsia="Candara" w:cs="Candara"/>
          <w:spacing w:val="1"/>
        </w:rPr>
        <w:t>8</w:t>
      </w:r>
      <w:r w:rsidRPr="007223FB">
        <w:rPr>
          <w:rFonts w:eastAsia="Candara" w:cs="Candara"/>
        </w:rPr>
        <w:t>,</w:t>
      </w:r>
      <w:r w:rsidRPr="007223FB">
        <w:rPr>
          <w:rFonts w:eastAsia="Candara" w:cs="Candara"/>
          <w:spacing w:val="24"/>
        </w:rPr>
        <w:t xml:space="preserve"> </w:t>
      </w:r>
      <w:r w:rsidRPr="007223FB">
        <w:rPr>
          <w:rFonts w:eastAsia="Candara" w:cs="Candara"/>
          <w:spacing w:val="1"/>
        </w:rPr>
        <w:t>d</w:t>
      </w:r>
      <w:r w:rsidRPr="007223FB">
        <w:rPr>
          <w:rFonts w:eastAsia="Candara" w:cs="Candara"/>
        </w:rPr>
        <w:t>el De</w:t>
      </w:r>
      <w:r w:rsidRPr="007223FB">
        <w:rPr>
          <w:rFonts w:eastAsia="Candara" w:cs="Candara"/>
          <w:spacing w:val="1"/>
        </w:rPr>
        <w:t>cr</w:t>
      </w:r>
      <w:r w:rsidRPr="007223FB">
        <w:rPr>
          <w:rFonts w:eastAsia="Candara" w:cs="Candara"/>
        </w:rPr>
        <w:t>eto Núm</w:t>
      </w:r>
      <w:r w:rsidRPr="007223FB">
        <w:rPr>
          <w:rFonts w:eastAsia="Candara" w:cs="Candara"/>
          <w:spacing w:val="-3"/>
        </w:rPr>
        <w:t>e</w:t>
      </w:r>
      <w:r w:rsidRPr="007223FB">
        <w:rPr>
          <w:rFonts w:eastAsia="Candara" w:cs="Candara"/>
          <w:spacing w:val="1"/>
        </w:rPr>
        <w:t>r</w:t>
      </w:r>
      <w:r w:rsidRPr="007223FB">
        <w:rPr>
          <w:rFonts w:eastAsia="Candara" w:cs="Candara"/>
        </w:rPr>
        <w:t>o 1</w:t>
      </w:r>
      <w:r w:rsidRPr="007223FB">
        <w:rPr>
          <w:rFonts w:eastAsia="Candara" w:cs="Candara"/>
          <w:spacing w:val="1"/>
        </w:rPr>
        <w:t>3</w:t>
      </w:r>
      <w:r w:rsidRPr="007223FB">
        <w:rPr>
          <w:rFonts w:eastAsia="Candara" w:cs="Candara"/>
          <w:spacing w:val="-3"/>
        </w:rPr>
        <w:t>-</w:t>
      </w:r>
      <w:r w:rsidRPr="007223FB">
        <w:rPr>
          <w:rFonts w:eastAsia="Candara" w:cs="Candara"/>
          <w:spacing w:val="1"/>
        </w:rPr>
        <w:t>20</w:t>
      </w:r>
      <w:r w:rsidRPr="007223FB">
        <w:rPr>
          <w:rFonts w:eastAsia="Candara" w:cs="Candara"/>
          <w:spacing w:val="-3"/>
        </w:rPr>
        <w:t>1</w:t>
      </w:r>
      <w:r w:rsidRPr="007223FB">
        <w:rPr>
          <w:rFonts w:eastAsia="Candara" w:cs="Candara"/>
        </w:rPr>
        <w:t>3</w:t>
      </w:r>
      <w:r w:rsidRPr="007223FB">
        <w:rPr>
          <w:rFonts w:eastAsia="Candara" w:cs="Candara"/>
          <w:spacing w:val="1"/>
        </w:rPr>
        <w:t xml:space="preserve"> </w:t>
      </w:r>
      <w:r w:rsidRPr="007223FB">
        <w:rPr>
          <w:rFonts w:eastAsia="Candara" w:cs="Candara"/>
          <w:spacing w:val="-3"/>
        </w:rPr>
        <w:t>e</w:t>
      </w:r>
      <w:r w:rsidRPr="007223FB">
        <w:rPr>
          <w:rFonts w:eastAsia="Candara" w:cs="Candara"/>
        </w:rPr>
        <w:t xml:space="preserve">l </w:t>
      </w:r>
      <w:r w:rsidRPr="007223FB">
        <w:rPr>
          <w:rFonts w:eastAsia="Candara" w:cs="Candara"/>
          <w:spacing w:val="1"/>
        </w:rPr>
        <w:t>2</w:t>
      </w:r>
      <w:r w:rsidRPr="007223FB">
        <w:rPr>
          <w:rFonts w:eastAsia="Candara" w:cs="Candara"/>
          <w:spacing w:val="-1"/>
        </w:rPr>
        <w:t>0</w:t>
      </w:r>
      <w:r w:rsidRPr="007223FB">
        <w:rPr>
          <w:rFonts w:eastAsia="Candara" w:cs="Candara"/>
          <w:spacing w:val="1"/>
        </w:rPr>
        <w:t>/</w:t>
      </w:r>
      <w:r w:rsidRPr="007223FB">
        <w:rPr>
          <w:rFonts w:eastAsia="Candara" w:cs="Candara"/>
        </w:rPr>
        <w:t>11</w:t>
      </w:r>
      <w:r w:rsidRPr="007223FB">
        <w:rPr>
          <w:rFonts w:eastAsia="Candara" w:cs="Candara"/>
          <w:spacing w:val="-1"/>
        </w:rPr>
        <w:t>/2</w:t>
      </w:r>
      <w:r w:rsidRPr="007223FB">
        <w:rPr>
          <w:rFonts w:eastAsia="Candara" w:cs="Candara"/>
          <w:spacing w:val="1"/>
        </w:rPr>
        <w:t>0</w:t>
      </w:r>
      <w:r w:rsidRPr="007223FB">
        <w:rPr>
          <w:rFonts w:eastAsia="Candara" w:cs="Candara"/>
        </w:rPr>
        <w:t>1</w:t>
      </w:r>
      <w:r w:rsidRPr="007223FB">
        <w:rPr>
          <w:rFonts w:eastAsia="Candara" w:cs="Candara"/>
          <w:spacing w:val="1"/>
        </w:rPr>
        <w:t>3</w:t>
      </w:r>
      <w:r w:rsidRPr="007223FB">
        <w:rPr>
          <w:rFonts w:eastAsia="Candara" w:cs="Candara"/>
        </w:rPr>
        <w:t>, t</w:t>
      </w:r>
      <w:r w:rsidRPr="007223FB">
        <w:rPr>
          <w:rFonts w:eastAsia="Candara" w:cs="Candara"/>
          <w:spacing w:val="-3"/>
        </w:rPr>
        <w:t>e</w:t>
      </w:r>
      <w:r w:rsidRPr="007223FB">
        <w:rPr>
          <w:rFonts w:eastAsia="Candara" w:cs="Candara"/>
          <w:spacing w:val="1"/>
        </w:rPr>
        <w:t>rc</w:t>
      </w:r>
      <w:r w:rsidRPr="007223FB">
        <w:rPr>
          <w:rFonts w:eastAsia="Candara" w:cs="Candara"/>
          <w:spacing w:val="-3"/>
        </w:rPr>
        <w:t>e</w:t>
      </w:r>
      <w:r w:rsidRPr="007223FB">
        <w:rPr>
          <w:rFonts w:eastAsia="Candara" w:cs="Candara"/>
        </w:rPr>
        <w:t>r</w:t>
      </w:r>
      <w:r w:rsidRPr="007223FB">
        <w:rPr>
          <w:rFonts w:eastAsia="Candara" w:cs="Candara"/>
          <w:spacing w:val="1"/>
        </w:rPr>
        <w:t xml:space="preserve"> </w:t>
      </w:r>
      <w:r w:rsidRPr="007223FB">
        <w:rPr>
          <w:rFonts w:eastAsia="Candara" w:cs="Candara"/>
        </w:rPr>
        <w:t>pá</w:t>
      </w:r>
      <w:r w:rsidRPr="007223FB">
        <w:rPr>
          <w:rFonts w:eastAsia="Candara" w:cs="Candara"/>
          <w:spacing w:val="-1"/>
        </w:rPr>
        <w:t>r</w:t>
      </w:r>
      <w:r w:rsidRPr="007223FB">
        <w:rPr>
          <w:rFonts w:eastAsia="Candara" w:cs="Candara"/>
          <w:spacing w:val="1"/>
        </w:rPr>
        <w:t>r</w:t>
      </w:r>
      <w:r w:rsidRPr="007223FB">
        <w:rPr>
          <w:rFonts w:eastAsia="Candara" w:cs="Candara"/>
        </w:rPr>
        <w:t>af</w:t>
      </w:r>
      <w:r w:rsidRPr="007223FB">
        <w:rPr>
          <w:rFonts w:eastAsia="Candara" w:cs="Candara"/>
          <w:spacing w:val="-4"/>
        </w:rPr>
        <w:t>o</w:t>
      </w:r>
      <w:r w:rsidRPr="007223FB">
        <w:rPr>
          <w:rFonts w:eastAsia="Candara" w:cs="Candara"/>
          <w:spacing w:val="-1"/>
        </w:rPr>
        <w:t>)</w:t>
      </w:r>
      <w:r w:rsidRPr="007223FB">
        <w:rPr>
          <w:rFonts w:eastAsia="Candara" w:cs="Candara"/>
        </w:rPr>
        <w:t>, que lite</w:t>
      </w:r>
      <w:r w:rsidRPr="007223FB">
        <w:rPr>
          <w:rFonts w:eastAsia="Candara" w:cs="Candara"/>
          <w:spacing w:val="1"/>
        </w:rPr>
        <w:t>r</w:t>
      </w:r>
      <w:r w:rsidRPr="007223FB">
        <w:rPr>
          <w:rFonts w:eastAsia="Candara" w:cs="Candara"/>
        </w:rPr>
        <w:t>alme</w:t>
      </w:r>
      <w:r w:rsidRPr="007223FB">
        <w:rPr>
          <w:rFonts w:eastAsia="Candara" w:cs="Candara"/>
          <w:spacing w:val="1"/>
        </w:rPr>
        <w:t>n</w:t>
      </w:r>
      <w:r w:rsidRPr="007223FB">
        <w:rPr>
          <w:rFonts w:eastAsia="Candara" w:cs="Candara"/>
        </w:rPr>
        <w:t xml:space="preserve">te </w:t>
      </w:r>
      <w:r w:rsidRPr="007223FB">
        <w:rPr>
          <w:rFonts w:eastAsia="Candara" w:cs="Candara"/>
          <w:spacing w:val="1"/>
        </w:rPr>
        <w:t>d</w:t>
      </w:r>
      <w:r w:rsidRPr="007223FB">
        <w:rPr>
          <w:rFonts w:eastAsia="Candara" w:cs="Candara"/>
          <w:spacing w:val="-2"/>
        </w:rPr>
        <w:t>i</w:t>
      </w:r>
      <w:r w:rsidRPr="007223FB">
        <w:rPr>
          <w:rFonts w:eastAsia="Candara" w:cs="Candara"/>
          <w:spacing w:val="1"/>
        </w:rPr>
        <w:t>c</w:t>
      </w:r>
      <w:r w:rsidRPr="007223FB">
        <w:rPr>
          <w:rFonts w:eastAsia="Candara" w:cs="Candara"/>
        </w:rPr>
        <w:t>e:</w:t>
      </w:r>
    </w:p>
    <w:p w:rsidR="007D0929" w:rsidRPr="007223FB" w:rsidRDefault="007D0929" w:rsidP="006C13F5">
      <w:pPr>
        <w:spacing w:before="120" w:after="120" w:line="240" w:lineRule="auto"/>
        <w:ind w:right="57"/>
        <w:rPr>
          <w:rFonts w:eastAsia="Candara" w:cs="Candara"/>
        </w:rPr>
      </w:pPr>
      <w:r w:rsidRPr="007223FB">
        <w:rPr>
          <w:rFonts w:eastAsia="Candara" w:cs="Candara"/>
          <w:spacing w:val="-1"/>
        </w:rPr>
        <w:t>“</w:t>
      </w:r>
      <w:r w:rsidRPr="007223FB">
        <w:rPr>
          <w:rFonts w:eastAsia="Candara" w:cs="Candara"/>
          <w:spacing w:val="1"/>
        </w:rPr>
        <w:t>L</w:t>
      </w:r>
      <w:r w:rsidRPr="007223FB">
        <w:rPr>
          <w:rFonts w:eastAsia="Candara" w:cs="Candara"/>
        </w:rPr>
        <w:t>a</w:t>
      </w:r>
      <w:r w:rsidRPr="007223FB">
        <w:rPr>
          <w:rFonts w:eastAsia="Candara" w:cs="Candara"/>
          <w:spacing w:val="5"/>
        </w:rPr>
        <w:t xml:space="preserve"> </w:t>
      </w:r>
      <w:r w:rsidRPr="007223FB">
        <w:rPr>
          <w:rFonts w:eastAsia="Candara" w:cs="Candara"/>
          <w:w w:val="95"/>
        </w:rPr>
        <w:t>P</w:t>
      </w:r>
      <w:r w:rsidRPr="007223FB">
        <w:rPr>
          <w:rFonts w:eastAsia="Candara" w:cs="Candara"/>
          <w:spacing w:val="-1"/>
          <w:w w:val="95"/>
        </w:rPr>
        <w:t>r</w:t>
      </w:r>
      <w:r w:rsidRPr="007223FB">
        <w:rPr>
          <w:rFonts w:eastAsia="Candara" w:cs="Candara"/>
          <w:spacing w:val="1"/>
          <w:w w:val="95"/>
        </w:rPr>
        <w:t>e</w:t>
      </w:r>
      <w:r w:rsidRPr="007223FB">
        <w:rPr>
          <w:rFonts w:eastAsia="Candara" w:cs="Candara"/>
          <w:w w:val="95"/>
        </w:rPr>
        <w:t>si</w:t>
      </w:r>
      <w:r w:rsidRPr="007223FB">
        <w:rPr>
          <w:rFonts w:eastAsia="Candara" w:cs="Candara"/>
          <w:spacing w:val="-1"/>
          <w:w w:val="95"/>
        </w:rPr>
        <w:t>d</w:t>
      </w:r>
      <w:r w:rsidRPr="007223FB">
        <w:rPr>
          <w:rFonts w:eastAsia="Candara" w:cs="Candara"/>
          <w:spacing w:val="1"/>
          <w:w w:val="95"/>
        </w:rPr>
        <w:t>e</w:t>
      </w:r>
      <w:r w:rsidRPr="007223FB">
        <w:rPr>
          <w:rFonts w:eastAsia="Candara" w:cs="Candara"/>
          <w:w w:val="95"/>
        </w:rPr>
        <w:t>n</w:t>
      </w:r>
      <w:r w:rsidRPr="007223FB">
        <w:rPr>
          <w:rFonts w:eastAsia="Candara" w:cs="Candara"/>
          <w:spacing w:val="1"/>
          <w:w w:val="95"/>
        </w:rPr>
        <w:t>c</w:t>
      </w:r>
      <w:r w:rsidRPr="007223FB">
        <w:rPr>
          <w:rFonts w:eastAsia="Candara" w:cs="Candara"/>
          <w:w w:val="95"/>
        </w:rPr>
        <w:t>ia</w:t>
      </w:r>
      <w:r w:rsidRPr="007223FB">
        <w:rPr>
          <w:rFonts w:eastAsia="Candara" w:cs="Candara"/>
          <w:spacing w:val="27"/>
          <w:w w:val="95"/>
        </w:rPr>
        <w:t xml:space="preserve"> </w:t>
      </w:r>
      <w:r w:rsidRPr="007223FB">
        <w:rPr>
          <w:rFonts w:eastAsia="Candara" w:cs="Candara"/>
          <w:spacing w:val="1"/>
        </w:rPr>
        <w:t>d</w:t>
      </w:r>
      <w:r w:rsidRPr="007223FB">
        <w:rPr>
          <w:rFonts w:eastAsia="Candara" w:cs="Candara"/>
        </w:rPr>
        <w:t>e</w:t>
      </w:r>
      <w:r w:rsidRPr="007223FB">
        <w:rPr>
          <w:rFonts w:eastAsia="Candara" w:cs="Candara"/>
          <w:spacing w:val="7"/>
        </w:rPr>
        <w:t xml:space="preserve"> </w:t>
      </w:r>
      <w:r w:rsidRPr="007223FB">
        <w:rPr>
          <w:rFonts w:eastAsia="Candara" w:cs="Candara"/>
        </w:rPr>
        <w:t>la</w:t>
      </w:r>
      <w:r w:rsidRPr="007223FB">
        <w:rPr>
          <w:rFonts w:eastAsia="Candara" w:cs="Candara"/>
          <w:spacing w:val="14"/>
        </w:rPr>
        <w:t xml:space="preserve"> </w:t>
      </w:r>
      <w:r w:rsidRPr="007223FB">
        <w:rPr>
          <w:rFonts w:eastAsia="Candara" w:cs="Candara"/>
          <w:spacing w:val="-2"/>
          <w:w w:val="95"/>
        </w:rPr>
        <w:t>R</w:t>
      </w:r>
      <w:r w:rsidRPr="007223FB">
        <w:rPr>
          <w:rFonts w:eastAsia="Candara" w:cs="Candara"/>
          <w:spacing w:val="1"/>
          <w:w w:val="95"/>
        </w:rPr>
        <w:t>e</w:t>
      </w:r>
      <w:r w:rsidRPr="007223FB">
        <w:rPr>
          <w:rFonts w:eastAsia="Candara" w:cs="Candara"/>
          <w:spacing w:val="-1"/>
          <w:w w:val="95"/>
        </w:rPr>
        <w:t>p</w:t>
      </w:r>
      <w:r w:rsidRPr="007223FB">
        <w:rPr>
          <w:rFonts w:eastAsia="Candara" w:cs="Candara"/>
          <w:spacing w:val="-2"/>
          <w:w w:val="95"/>
        </w:rPr>
        <w:t>ú</w:t>
      </w:r>
      <w:r w:rsidRPr="007223FB">
        <w:rPr>
          <w:rFonts w:eastAsia="Candara" w:cs="Candara"/>
          <w:spacing w:val="1"/>
          <w:w w:val="95"/>
        </w:rPr>
        <w:t>b</w:t>
      </w:r>
      <w:r w:rsidRPr="007223FB">
        <w:rPr>
          <w:rFonts w:eastAsia="Candara" w:cs="Candara"/>
          <w:w w:val="95"/>
        </w:rPr>
        <w:t>li</w:t>
      </w:r>
      <w:r w:rsidRPr="007223FB">
        <w:rPr>
          <w:rFonts w:eastAsia="Candara" w:cs="Candara"/>
          <w:spacing w:val="1"/>
          <w:w w:val="95"/>
        </w:rPr>
        <w:t>c</w:t>
      </w:r>
      <w:r w:rsidRPr="007223FB">
        <w:rPr>
          <w:rFonts w:eastAsia="Candara" w:cs="Candara"/>
          <w:w w:val="95"/>
        </w:rPr>
        <w:t>a</w:t>
      </w:r>
      <w:r w:rsidRPr="007223FB">
        <w:rPr>
          <w:rFonts w:eastAsia="Candara" w:cs="Candara"/>
          <w:spacing w:val="24"/>
          <w:w w:val="95"/>
        </w:rPr>
        <w:t xml:space="preserve"> </w:t>
      </w:r>
      <w:r w:rsidRPr="007223FB">
        <w:rPr>
          <w:rFonts w:eastAsia="Candara" w:cs="Candara"/>
          <w:spacing w:val="-1"/>
        </w:rPr>
        <w:t>p</w:t>
      </w:r>
      <w:r w:rsidRPr="007223FB">
        <w:rPr>
          <w:rFonts w:eastAsia="Candara" w:cs="Candara"/>
          <w:spacing w:val="1"/>
        </w:rPr>
        <w:t>o</w:t>
      </w:r>
      <w:r w:rsidRPr="007223FB">
        <w:rPr>
          <w:rFonts w:eastAsia="Candara" w:cs="Candara"/>
        </w:rPr>
        <w:t>r</w:t>
      </w:r>
      <w:r w:rsidRPr="007223FB">
        <w:rPr>
          <w:rFonts w:eastAsia="Candara" w:cs="Candara"/>
          <w:spacing w:val="5"/>
        </w:rPr>
        <w:t xml:space="preserve"> </w:t>
      </w:r>
      <w:r w:rsidRPr="007223FB">
        <w:rPr>
          <w:rFonts w:eastAsia="Candara" w:cs="Candara"/>
          <w:spacing w:val="-2"/>
        </w:rPr>
        <w:t>m</w:t>
      </w:r>
      <w:r w:rsidRPr="007223FB">
        <w:rPr>
          <w:rFonts w:eastAsia="Candara" w:cs="Candara"/>
          <w:spacing w:val="1"/>
        </w:rPr>
        <w:t>ed</w:t>
      </w:r>
      <w:r w:rsidRPr="007223FB">
        <w:rPr>
          <w:rFonts w:eastAsia="Candara" w:cs="Candara"/>
          <w:spacing w:val="-2"/>
        </w:rPr>
        <w:t>i</w:t>
      </w:r>
      <w:r w:rsidRPr="007223FB">
        <w:rPr>
          <w:rFonts w:eastAsia="Candara" w:cs="Candara"/>
        </w:rPr>
        <w:t>o</w:t>
      </w:r>
      <w:r w:rsidRPr="007223FB">
        <w:rPr>
          <w:rFonts w:eastAsia="Candara" w:cs="Candara"/>
          <w:spacing w:val="-5"/>
        </w:rPr>
        <w:t xml:space="preserve"> </w:t>
      </w:r>
      <w:r w:rsidRPr="007223FB">
        <w:rPr>
          <w:rFonts w:eastAsia="Candara" w:cs="Candara"/>
          <w:spacing w:val="1"/>
        </w:rPr>
        <w:t>d</w:t>
      </w:r>
      <w:r w:rsidRPr="007223FB">
        <w:rPr>
          <w:rFonts w:eastAsia="Candara" w:cs="Candara"/>
        </w:rPr>
        <w:t>e</w:t>
      </w:r>
      <w:r w:rsidRPr="007223FB">
        <w:rPr>
          <w:rFonts w:eastAsia="Candara" w:cs="Candara"/>
          <w:spacing w:val="7"/>
        </w:rPr>
        <w:t xml:space="preserve"> </w:t>
      </w:r>
      <w:r w:rsidRPr="007223FB">
        <w:rPr>
          <w:rFonts w:eastAsia="Candara" w:cs="Candara"/>
        </w:rPr>
        <w:t>la</w:t>
      </w:r>
      <w:r w:rsidRPr="007223FB">
        <w:rPr>
          <w:rFonts w:eastAsia="Candara" w:cs="Candara"/>
          <w:spacing w:val="14"/>
        </w:rPr>
        <w:t xml:space="preserve"> </w:t>
      </w:r>
      <w:r w:rsidRPr="007223FB">
        <w:rPr>
          <w:rFonts w:eastAsia="Candara" w:cs="Candara"/>
          <w:spacing w:val="-2"/>
        </w:rPr>
        <w:t>S</w:t>
      </w:r>
      <w:r w:rsidRPr="007223FB">
        <w:rPr>
          <w:rFonts w:eastAsia="Candara" w:cs="Candara"/>
          <w:spacing w:val="1"/>
        </w:rPr>
        <w:t>ec</w:t>
      </w:r>
      <w:r w:rsidRPr="007223FB">
        <w:rPr>
          <w:rFonts w:eastAsia="Candara" w:cs="Candara"/>
          <w:spacing w:val="-3"/>
        </w:rPr>
        <w:t>r</w:t>
      </w:r>
      <w:r w:rsidRPr="007223FB">
        <w:rPr>
          <w:rFonts w:eastAsia="Candara" w:cs="Candara"/>
        </w:rPr>
        <w:t>eta</w:t>
      </w:r>
      <w:r w:rsidRPr="007223FB">
        <w:rPr>
          <w:rFonts w:eastAsia="Candara" w:cs="Candara"/>
          <w:spacing w:val="-1"/>
        </w:rPr>
        <w:t>r</w:t>
      </w:r>
      <w:r w:rsidRPr="007223FB">
        <w:rPr>
          <w:rFonts w:eastAsia="Candara" w:cs="Candara"/>
        </w:rPr>
        <w:t>ía</w:t>
      </w:r>
      <w:r w:rsidRPr="007223FB">
        <w:rPr>
          <w:rFonts w:eastAsia="Candara" w:cs="Candara"/>
          <w:spacing w:val="-13"/>
        </w:rPr>
        <w:t xml:space="preserve"> </w:t>
      </w:r>
      <w:r w:rsidRPr="007223FB">
        <w:rPr>
          <w:rFonts w:eastAsia="Candara" w:cs="Candara"/>
          <w:spacing w:val="1"/>
        </w:rPr>
        <w:t>d</w:t>
      </w:r>
      <w:r w:rsidRPr="007223FB">
        <w:rPr>
          <w:rFonts w:eastAsia="Candara" w:cs="Candara"/>
        </w:rPr>
        <w:t>e</w:t>
      </w:r>
      <w:r w:rsidRPr="007223FB">
        <w:rPr>
          <w:rFonts w:eastAsia="Candara" w:cs="Candara"/>
          <w:spacing w:val="7"/>
        </w:rPr>
        <w:t xml:space="preserve"> </w:t>
      </w:r>
      <w:r w:rsidRPr="007223FB">
        <w:rPr>
          <w:rFonts w:eastAsia="Candara" w:cs="Candara"/>
          <w:w w:val="96"/>
        </w:rPr>
        <w:t>Pl</w:t>
      </w:r>
      <w:r w:rsidRPr="007223FB">
        <w:rPr>
          <w:rFonts w:eastAsia="Candara" w:cs="Candara"/>
          <w:spacing w:val="-2"/>
          <w:w w:val="96"/>
        </w:rPr>
        <w:t>a</w:t>
      </w:r>
      <w:r w:rsidRPr="007223FB">
        <w:rPr>
          <w:rFonts w:eastAsia="Candara" w:cs="Candara"/>
          <w:w w:val="96"/>
        </w:rPr>
        <w:t>ni</w:t>
      </w:r>
      <w:r w:rsidRPr="007223FB">
        <w:rPr>
          <w:rFonts w:eastAsia="Candara" w:cs="Candara"/>
          <w:spacing w:val="1"/>
          <w:w w:val="96"/>
        </w:rPr>
        <w:t>f</w:t>
      </w:r>
      <w:r w:rsidRPr="007223FB">
        <w:rPr>
          <w:rFonts w:eastAsia="Candara" w:cs="Candara"/>
          <w:spacing w:val="-2"/>
          <w:w w:val="96"/>
        </w:rPr>
        <w:t>i</w:t>
      </w:r>
      <w:r w:rsidRPr="007223FB">
        <w:rPr>
          <w:rFonts w:eastAsia="Candara" w:cs="Candara"/>
          <w:spacing w:val="1"/>
          <w:w w:val="96"/>
        </w:rPr>
        <w:t>c</w:t>
      </w:r>
      <w:r w:rsidRPr="007223FB">
        <w:rPr>
          <w:rFonts w:eastAsia="Candara" w:cs="Candara"/>
          <w:w w:val="96"/>
        </w:rPr>
        <w:t>a</w:t>
      </w:r>
      <w:r w:rsidRPr="007223FB">
        <w:rPr>
          <w:rFonts w:eastAsia="Candara" w:cs="Candara"/>
          <w:spacing w:val="1"/>
          <w:w w:val="96"/>
        </w:rPr>
        <w:t>c</w:t>
      </w:r>
      <w:r w:rsidRPr="007223FB">
        <w:rPr>
          <w:rFonts w:eastAsia="Candara" w:cs="Candara"/>
          <w:spacing w:val="-2"/>
          <w:w w:val="96"/>
        </w:rPr>
        <w:t>i</w:t>
      </w:r>
      <w:r w:rsidRPr="007223FB">
        <w:rPr>
          <w:rFonts w:eastAsia="Candara" w:cs="Candara"/>
          <w:spacing w:val="1"/>
          <w:w w:val="96"/>
        </w:rPr>
        <w:t>ó</w:t>
      </w:r>
      <w:r w:rsidRPr="007223FB">
        <w:rPr>
          <w:rFonts w:eastAsia="Candara" w:cs="Candara"/>
          <w:w w:val="96"/>
        </w:rPr>
        <w:t>n</w:t>
      </w:r>
      <w:r w:rsidRPr="007223FB">
        <w:rPr>
          <w:rFonts w:eastAsia="Candara" w:cs="Candara"/>
          <w:spacing w:val="25"/>
          <w:w w:val="96"/>
        </w:rPr>
        <w:t xml:space="preserve"> </w:t>
      </w:r>
      <w:r w:rsidRPr="007223FB">
        <w:rPr>
          <w:rFonts w:eastAsia="Candara" w:cs="Candara"/>
        </w:rPr>
        <w:t>y</w:t>
      </w:r>
      <w:r w:rsidRPr="007223FB">
        <w:rPr>
          <w:rFonts w:eastAsia="Candara" w:cs="Candara"/>
          <w:spacing w:val="15"/>
        </w:rPr>
        <w:t xml:space="preserve"> </w:t>
      </w:r>
      <w:r w:rsidRPr="007223FB">
        <w:rPr>
          <w:rFonts w:eastAsia="Candara" w:cs="Candara"/>
          <w:w w:val="96"/>
        </w:rPr>
        <w:t>P</w:t>
      </w:r>
      <w:r w:rsidRPr="007223FB">
        <w:rPr>
          <w:rFonts w:eastAsia="Candara" w:cs="Candara"/>
          <w:spacing w:val="-3"/>
          <w:w w:val="96"/>
        </w:rPr>
        <w:t>r</w:t>
      </w:r>
      <w:r w:rsidRPr="007223FB">
        <w:rPr>
          <w:rFonts w:eastAsia="Candara" w:cs="Candara"/>
          <w:spacing w:val="1"/>
          <w:w w:val="96"/>
        </w:rPr>
        <w:t>og</w:t>
      </w:r>
      <w:r w:rsidRPr="007223FB">
        <w:rPr>
          <w:rFonts w:eastAsia="Candara" w:cs="Candara"/>
          <w:spacing w:val="-1"/>
          <w:w w:val="96"/>
        </w:rPr>
        <w:t>r</w:t>
      </w:r>
      <w:r w:rsidRPr="007223FB">
        <w:rPr>
          <w:rFonts w:eastAsia="Candara" w:cs="Candara"/>
          <w:w w:val="96"/>
        </w:rPr>
        <w:t>a</w:t>
      </w:r>
      <w:r w:rsidRPr="007223FB">
        <w:rPr>
          <w:rFonts w:eastAsia="Candara" w:cs="Candara"/>
          <w:spacing w:val="1"/>
          <w:w w:val="96"/>
        </w:rPr>
        <w:t>m</w:t>
      </w:r>
      <w:r w:rsidRPr="007223FB">
        <w:rPr>
          <w:rFonts w:eastAsia="Candara" w:cs="Candara"/>
          <w:spacing w:val="-2"/>
          <w:w w:val="96"/>
        </w:rPr>
        <w:t>a</w:t>
      </w:r>
      <w:r w:rsidRPr="007223FB">
        <w:rPr>
          <w:rFonts w:eastAsia="Candara" w:cs="Candara"/>
          <w:spacing w:val="1"/>
          <w:w w:val="96"/>
        </w:rPr>
        <w:t>c</w:t>
      </w:r>
      <w:r w:rsidRPr="007223FB">
        <w:rPr>
          <w:rFonts w:eastAsia="Candara" w:cs="Candara"/>
          <w:w w:val="96"/>
        </w:rPr>
        <w:t>i</w:t>
      </w:r>
      <w:r w:rsidRPr="007223FB">
        <w:rPr>
          <w:rFonts w:eastAsia="Candara" w:cs="Candara"/>
          <w:spacing w:val="1"/>
          <w:w w:val="96"/>
        </w:rPr>
        <w:t>ó</w:t>
      </w:r>
      <w:r w:rsidRPr="007223FB">
        <w:rPr>
          <w:rFonts w:eastAsia="Candara" w:cs="Candara"/>
          <w:w w:val="96"/>
        </w:rPr>
        <w:t>n</w:t>
      </w:r>
      <w:r w:rsidRPr="007223FB">
        <w:rPr>
          <w:rFonts w:eastAsia="Candara" w:cs="Candara"/>
          <w:spacing w:val="23"/>
          <w:w w:val="96"/>
        </w:rPr>
        <w:t xml:space="preserve"> </w:t>
      </w:r>
      <w:r w:rsidRPr="007223FB">
        <w:rPr>
          <w:rFonts w:eastAsia="Candara" w:cs="Candara"/>
          <w:spacing w:val="1"/>
        </w:rPr>
        <w:t>d</w:t>
      </w:r>
      <w:r w:rsidRPr="007223FB">
        <w:rPr>
          <w:rFonts w:eastAsia="Candara" w:cs="Candara"/>
        </w:rPr>
        <w:t>e</w:t>
      </w:r>
      <w:r w:rsidRPr="007223FB">
        <w:rPr>
          <w:rFonts w:eastAsia="Candara" w:cs="Candara"/>
          <w:spacing w:val="7"/>
        </w:rPr>
        <w:t xml:space="preserve"> </w:t>
      </w:r>
      <w:r w:rsidRPr="007223FB">
        <w:rPr>
          <w:rFonts w:eastAsia="Candara" w:cs="Candara"/>
        </w:rPr>
        <w:t xml:space="preserve">la </w:t>
      </w:r>
      <w:r w:rsidRPr="007223FB">
        <w:rPr>
          <w:rFonts w:eastAsia="Candara" w:cs="Candara"/>
          <w:w w:val="95"/>
        </w:rPr>
        <w:t>P</w:t>
      </w:r>
      <w:r w:rsidRPr="007223FB">
        <w:rPr>
          <w:rFonts w:eastAsia="Candara" w:cs="Candara"/>
          <w:spacing w:val="-1"/>
          <w:w w:val="95"/>
        </w:rPr>
        <w:t>r</w:t>
      </w:r>
      <w:r w:rsidRPr="007223FB">
        <w:rPr>
          <w:rFonts w:eastAsia="Candara" w:cs="Candara"/>
          <w:spacing w:val="1"/>
          <w:w w:val="95"/>
        </w:rPr>
        <w:t>e</w:t>
      </w:r>
      <w:r w:rsidRPr="007223FB">
        <w:rPr>
          <w:rFonts w:eastAsia="Candara" w:cs="Candara"/>
          <w:w w:val="95"/>
        </w:rPr>
        <w:t>si</w:t>
      </w:r>
      <w:r w:rsidRPr="007223FB">
        <w:rPr>
          <w:rFonts w:eastAsia="Candara" w:cs="Candara"/>
          <w:spacing w:val="1"/>
          <w:w w:val="95"/>
        </w:rPr>
        <w:t>de</w:t>
      </w:r>
      <w:r w:rsidRPr="007223FB">
        <w:rPr>
          <w:rFonts w:eastAsia="Candara" w:cs="Candara"/>
          <w:spacing w:val="-2"/>
          <w:w w:val="95"/>
        </w:rPr>
        <w:t>n</w:t>
      </w:r>
      <w:r w:rsidRPr="007223FB">
        <w:rPr>
          <w:rFonts w:eastAsia="Candara" w:cs="Candara"/>
          <w:spacing w:val="1"/>
          <w:w w:val="95"/>
        </w:rPr>
        <w:t>c</w:t>
      </w:r>
      <w:r w:rsidRPr="007223FB">
        <w:rPr>
          <w:rFonts w:eastAsia="Candara" w:cs="Candara"/>
          <w:w w:val="95"/>
        </w:rPr>
        <w:t>ia,</w:t>
      </w:r>
      <w:r w:rsidRPr="007223FB">
        <w:rPr>
          <w:rFonts w:eastAsia="Candara" w:cs="Candara"/>
          <w:spacing w:val="13"/>
          <w:w w:val="95"/>
        </w:rPr>
        <w:t xml:space="preserve"> </w:t>
      </w:r>
      <w:r w:rsidRPr="007223FB">
        <w:rPr>
          <w:rFonts w:eastAsia="Candara" w:cs="Candara"/>
          <w:spacing w:val="-2"/>
          <w:w w:val="95"/>
        </w:rPr>
        <w:t>c</w:t>
      </w:r>
      <w:r w:rsidRPr="007223FB">
        <w:rPr>
          <w:rFonts w:eastAsia="Candara" w:cs="Candara"/>
          <w:spacing w:val="1"/>
          <w:w w:val="95"/>
        </w:rPr>
        <w:t>o</w:t>
      </w:r>
      <w:r w:rsidRPr="007223FB">
        <w:rPr>
          <w:rFonts w:eastAsia="Candara" w:cs="Candara"/>
          <w:w w:val="95"/>
        </w:rPr>
        <w:t>n</w:t>
      </w:r>
      <w:r w:rsidRPr="007223FB">
        <w:rPr>
          <w:rFonts w:eastAsia="Candara" w:cs="Candara"/>
          <w:spacing w:val="-5"/>
          <w:w w:val="95"/>
        </w:rPr>
        <w:t xml:space="preserve"> </w:t>
      </w:r>
      <w:r w:rsidRPr="007223FB">
        <w:rPr>
          <w:rFonts w:eastAsia="Candara" w:cs="Candara"/>
          <w:spacing w:val="1"/>
        </w:rPr>
        <w:t>e</w:t>
      </w:r>
      <w:r w:rsidRPr="007223FB">
        <w:rPr>
          <w:rFonts w:eastAsia="Candara" w:cs="Candara"/>
        </w:rPr>
        <w:t>l</w:t>
      </w:r>
      <w:r w:rsidRPr="007223FB">
        <w:rPr>
          <w:rFonts w:eastAsia="Candara" w:cs="Candara"/>
          <w:spacing w:val="-11"/>
        </w:rPr>
        <w:t xml:space="preserve"> </w:t>
      </w:r>
      <w:r w:rsidRPr="007223FB">
        <w:rPr>
          <w:rFonts w:eastAsia="Candara" w:cs="Candara"/>
          <w:spacing w:val="-2"/>
          <w:w w:val="96"/>
        </w:rPr>
        <w:t>o</w:t>
      </w:r>
      <w:r w:rsidRPr="007223FB">
        <w:rPr>
          <w:rFonts w:eastAsia="Candara" w:cs="Candara"/>
          <w:spacing w:val="1"/>
          <w:w w:val="96"/>
        </w:rPr>
        <w:t>b</w:t>
      </w:r>
      <w:r w:rsidRPr="007223FB">
        <w:rPr>
          <w:rFonts w:eastAsia="Candara" w:cs="Candara"/>
          <w:w w:val="96"/>
        </w:rPr>
        <w:t>j</w:t>
      </w:r>
      <w:r w:rsidRPr="007223FB">
        <w:rPr>
          <w:rFonts w:eastAsia="Candara" w:cs="Candara"/>
          <w:spacing w:val="1"/>
          <w:w w:val="96"/>
        </w:rPr>
        <w:t>e</w:t>
      </w:r>
      <w:r w:rsidRPr="007223FB">
        <w:rPr>
          <w:rFonts w:eastAsia="Candara" w:cs="Candara"/>
          <w:spacing w:val="-3"/>
          <w:w w:val="96"/>
        </w:rPr>
        <w:t>t</w:t>
      </w:r>
      <w:r w:rsidRPr="007223FB">
        <w:rPr>
          <w:rFonts w:eastAsia="Candara" w:cs="Candara"/>
          <w:w w:val="96"/>
        </w:rPr>
        <w:t>o</w:t>
      </w:r>
      <w:r w:rsidRPr="007223FB">
        <w:rPr>
          <w:rFonts w:eastAsia="Candara" w:cs="Candara"/>
          <w:spacing w:val="2"/>
          <w:w w:val="96"/>
        </w:rPr>
        <w:t xml:space="preserve"> </w:t>
      </w:r>
      <w:r w:rsidRPr="007223FB">
        <w:rPr>
          <w:rFonts w:eastAsia="Candara" w:cs="Candara"/>
          <w:spacing w:val="-1"/>
        </w:rPr>
        <w:t>d</w:t>
      </w:r>
      <w:r w:rsidRPr="007223FB">
        <w:rPr>
          <w:rFonts w:eastAsia="Candara" w:cs="Candara"/>
        </w:rPr>
        <w:t>e</w:t>
      </w:r>
      <w:r w:rsidRPr="007223FB">
        <w:rPr>
          <w:rFonts w:eastAsia="Candara" w:cs="Candara"/>
          <w:spacing w:val="-12"/>
        </w:rPr>
        <w:t xml:space="preserve"> </w:t>
      </w:r>
      <w:r w:rsidRPr="007223FB">
        <w:rPr>
          <w:rFonts w:eastAsia="Candara" w:cs="Candara"/>
          <w:spacing w:val="-2"/>
          <w:w w:val="96"/>
        </w:rPr>
        <w:t>e</w:t>
      </w:r>
      <w:r w:rsidRPr="007223FB">
        <w:rPr>
          <w:rFonts w:eastAsia="Candara" w:cs="Candara"/>
          <w:spacing w:val="1"/>
          <w:w w:val="96"/>
        </w:rPr>
        <w:t>fec</w:t>
      </w:r>
      <w:r w:rsidRPr="007223FB">
        <w:rPr>
          <w:rFonts w:eastAsia="Candara" w:cs="Candara"/>
          <w:w w:val="96"/>
        </w:rPr>
        <w:t>tuar</w:t>
      </w:r>
      <w:r w:rsidRPr="007223FB">
        <w:rPr>
          <w:rFonts w:eastAsia="Candara" w:cs="Candara"/>
          <w:spacing w:val="1"/>
          <w:w w:val="96"/>
        </w:rPr>
        <w:t xml:space="preserve"> </w:t>
      </w:r>
      <w:r w:rsidRPr="007223FB">
        <w:rPr>
          <w:rFonts w:eastAsia="Candara" w:cs="Candara"/>
        </w:rPr>
        <w:t>un</w:t>
      </w:r>
      <w:r w:rsidRPr="007223FB">
        <w:rPr>
          <w:rFonts w:eastAsia="Candara" w:cs="Candara"/>
          <w:spacing w:val="-13"/>
        </w:rPr>
        <w:t xml:space="preserve"> </w:t>
      </w:r>
      <w:r w:rsidRPr="007223FB">
        <w:rPr>
          <w:rFonts w:eastAsia="Candara" w:cs="Candara"/>
          <w:w w:val="95"/>
        </w:rPr>
        <w:t>a</w:t>
      </w:r>
      <w:r w:rsidRPr="007223FB">
        <w:rPr>
          <w:rFonts w:eastAsia="Candara" w:cs="Candara"/>
          <w:spacing w:val="-1"/>
          <w:w w:val="95"/>
        </w:rPr>
        <w:t>d</w:t>
      </w:r>
      <w:r w:rsidRPr="007223FB">
        <w:rPr>
          <w:rFonts w:eastAsia="Candara" w:cs="Candara"/>
          <w:spacing w:val="1"/>
          <w:w w:val="95"/>
        </w:rPr>
        <w:t>ec</w:t>
      </w:r>
      <w:r w:rsidRPr="007223FB">
        <w:rPr>
          <w:rFonts w:eastAsia="Candara" w:cs="Candara"/>
          <w:w w:val="95"/>
        </w:rPr>
        <w:t>u</w:t>
      </w:r>
      <w:r w:rsidRPr="007223FB">
        <w:rPr>
          <w:rFonts w:eastAsia="Candara" w:cs="Candara"/>
          <w:spacing w:val="-2"/>
          <w:w w:val="95"/>
        </w:rPr>
        <w:t>a</w:t>
      </w:r>
      <w:r w:rsidRPr="007223FB">
        <w:rPr>
          <w:rFonts w:eastAsia="Candara" w:cs="Candara"/>
          <w:spacing w:val="1"/>
          <w:w w:val="95"/>
        </w:rPr>
        <w:t>d</w:t>
      </w:r>
      <w:r w:rsidRPr="007223FB">
        <w:rPr>
          <w:rFonts w:eastAsia="Candara" w:cs="Candara"/>
          <w:w w:val="95"/>
        </w:rPr>
        <w:t>o</w:t>
      </w:r>
      <w:r w:rsidRPr="007223FB">
        <w:rPr>
          <w:rFonts w:eastAsia="Candara" w:cs="Candara"/>
          <w:spacing w:val="6"/>
          <w:w w:val="95"/>
        </w:rPr>
        <w:t xml:space="preserve"> </w:t>
      </w:r>
      <w:r w:rsidRPr="007223FB">
        <w:rPr>
          <w:rFonts w:eastAsia="Candara" w:cs="Candara"/>
          <w:w w:val="95"/>
        </w:rPr>
        <w:t>s</w:t>
      </w:r>
      <w:r w:rsidRPr="007223FB">
        <w:rPr>
          <w:rFonts w:eastAsia="Candara" w:cs="Candara"/>
          <w:spacing w:val="-1"/>
          <w:w w:val="95"/>
        </w:rPr>
        <w:t>eg</w:t>
      </w:r>
      <w:r w:rsidRPr="007223FB">
        <w:rPr>
          <w:rFonts w:eastAsia="Candara" w:cs="Candara"/>
          <w:w w:val="95"/>
        </w:rPr>
        <w:t>ui</w:t>
      </w:r>
      <w:r w:rsidRPr="007223FB">
        <w:rPr>
          <w:rFonts w:eastAsia="Candara" w:cs="Candara"/>
          <w:spacing w:val="1"/>
          <w:w w:val="95"/>
        </w:rPr>
        <w:t>m</w:t>
      </w:r>
      <w:r w:rsidRPr="007223FB">
        <w:rPr>
          <w:rFonts w:eastAsia="Candara" w:cs="Candara"/>
          <w:w w:val="95"/>
        </w:rPr>
        <w:t>i</w:t>
      </w:r>
      <w:r w:rsidRPr="007223FB">
        <w:rPr>
          <w:rFonts w:eastAsia="Candara" w:cs="Candara"/>
          <w:spacing w:val="1"/>
          <w:w w:val="95"/>
        </w:rPr>
        <w:t>e</w:t>
      </w:r>
      <w:r w:rsidRPr="007223FB">
        <w:rPr>
          <w:rFonts w:eastAsia="Candara" w:cs="Candara"/>
          <w:w w:val="95"/>
        </w:rPr>
        <w:t>n</w:t>
      </w:r>
      <w:r w:rsidRPr="007223FB">
        <w:rPr>
          <w:rFonts w:eastAsia="Candara" w:cs="Candara"/>
          <w:spacing w:val="-3"/>
          <w:w w:val="95"/>
        </w:rPr>
        <w:t>t</w:t>
      </w:r>
      <w:r w:rsidRPr="007223FB">
        <w:rPr>
          <w:rFonts w:eastAsia="Candara" w:cs="Candara"/>
          <w:w w:val="95"/>
        </w:rPr>
        <w:t>o</w:t>
      </w:r>
      <w:r w:rsidRPr="007223FB">
        <w:rPr>
          <w:rFonts w:eastAsia="Candara" w:cs="Candara"/>
          <w:spacing w:val="15"/>
          <w:w w:val="95"/>
        </w:rPr>
        <w:t xml:space="preserve"> </w:t>
      </w:r>
      <w:r w:rsidRPr="007223FB">
        <w:rPr>
          <w:rFonts w:eastAsia="Candara" w:cs="Candara"/>
          <w:w w:val="95"/>
        </w:rPr>
        <w:t>q</w:t>
      </w:r>
      <w:r w:rsidRPr="007223FB">
        <w:rPr>
          <w:rFonts w:eastAsia="Candara" w:cs="Candara"/>
          <w:spacing w:val="-2"/>
          <w:w w:val="95"/>
        </w:rPr>
        <w:t>u</w:t>
      </w:r>
      <w:r w:rsidRPr="007223FB">
        <w:rPr>
          <w:rFonts w:eastAsia="Candara" w:cs="Candara"/>
          <w:w w:val="95"/>
        </w:rPr>
        <w:t xml:space="preserve">e </w:t>
      </w:r>
      <w:r w:rsidRPr="007223FB">
        <w:rPr>
          <w:rFonts w:eastAsia="Candara" w:cs="Candara"/>
          <w:spacing w:val="-1"/>
        </w:rPr>
        <w:t>p</w:t>
      </w:r>
      <w:r w:rsidRPr="007223FB">
        <w:rPr>
          <w:rFonts w:eastAsia="Candara" w:cs="Candara"/>
          <w:spacing w:val="1"/>
        </w:rPr>
        <w:t>e</w:t>
      </w:r>
      <w:r w:rsidRPr="007223FB">
        <w:rPr>
          <w:rFonts w:eastAsia="Candara" w:cs="Candara"/>
          <w:spacing w:val="-1"/>
        </w:rPr>
        <w:t>r</w:t>
      </w:r>
      <w:r w:rsidRPr="007223FB">
        <w:rPr>
          <w:rFonts w:eastAsia="Candara" w:cs="Candara"/>
          <w:spacing w:val="1"/>
        </w:rPr>
        <w:t>m</w:t>
      </w:r>
      <w:r w:rsidRPr="007223FB">
        <w:rPr>
          <w:rFonts w:eastAsia="Candara" w:cs="Candara"/>
        </w:rPr>
        <w:t>ita</w:t>
      </w:r>
      <w:r w:rsidRPr="007223FB">
        <w:rPr>
          <w:rFonts w:eastAsia="Candara" w:cs="Candara"/>
          <w:spacing w:val="-17"/>
        </w:rPr>
        <w:t xml:space="preserve"> </w:t>
      </w:r>
      <w:r w:rsidRPr="007223FB">
        <w:rPr>
          <w:rFonts w:eastAsia="Candara" w:cs="Candara"/>
          <w:spacing w:val="-2"/>
          <w:w w:val="97"/>
        </w:rPr>
        <w:t>v</w:t>
      </w:r>
      <w:r w:rsidRPr="007223FB">
        <w:rPr>
          <w:rFonts w:eastAsia="Candara" w:cs="Candara"/>
          <w:spacing w:val="1"/>
          <w:w w:val="97"/>
        </w:rPr>
        <w:t>e</w:t>
      </w:r>
      <w:r w:rsidRPr="007223FB">
        <w:rPr>
          <w:rFonts w:eastAsia="Candara" w:cs="Candara"/>
          <w:spacing w:val="-1"/>
          <w:w w:val="97"/>
        </w:rPr>
        <w:t>r</w:t>
      </w:r>
      <w:r w:rsidRPr="007223FB">
        <w:rPr>
          <w:rFonts w:eastAsia="Candara" w:cs="Candara"/>
          <w:w w:val="97"/>
        </w:rPr>
        <w:t>i</w:t>
      </w:r>
      <w:r w:rsidRPr="007223FB">
        <w:rPr>
          <w:rFonts w:eastAsia="Candara" w:cs="Candara"/>
          <w:spacing w:val="-1"/>
          <w:w w:val="97"/>
        </w:rPr>
        <w:t>f</w:t>
      </w:r>
      <w:r w:rsidRPr="007223FB">
        <w:rPr>
          <w:rFonts w:eastAsia="Candara" w:cs="Candara"/>
          <w:w w:val="97"/>
        </w:rPr>
        <w:t>i</w:t>
      </w:r>
      <w:r w:rsidRPr="007223FB">
        <w:rPr>
          <w:rFonts w:eastAsia="Candara" w:cs="Candara"/>
          <w:spacing w:val="1"/>
          <w:w w:val="97"/>
        </w:rPr>
        <w:t>c</w:t>
      </w:r>
      <w:r w:rsidRPr="007223FB">
        <w:rPr>
          <w:rFonts w:eastAsia="Candara" w:cs="Candara"/>
          <w:w w:val="97"/>
        </w:rPr>
        <w:t>ar</w:t>
      </w:r>
      <w:r w:rsidRPr="007223FB">
        <w:rPr>
          <w:rFonts w:eastAsia="Candara" w:cs="Candara"/>
          <w:spacing w:val="4"/>
          <w:w w:val="97"/>
        </w:rPr>
        <w:t xml:space="preserve"> </w:t>
      </w:r>
      <w:r w:rsidRPr="007223FB">
        <w:rPr>
          <w:rFonts w:eastAsia="Candara" w:cs="Candara"/>
        </w:rPr>
        <w:t>la</w:t>
      </w:r>
      <w:r w:rsidRPr="007223FB">
        <w:rPr>
          <w:rFonts w:eastAsia="Candara" w:cs="Candara"/>
          <w:spacing w:val="-5"/>
        </w:rPr>
        <w:t xml:space="preserve"> </w:t>
      </w:r>
      <w:r w:rsidRPr="007223FB">
        <w:rPr>
          <w:rFonts w:eastAsia="Candara" w:cs="Candara"/>
          <w:spacing w:val="1"/>
          <w:w w:val="97"/>
        </w:rPr>
        <w:t>c</w:t>
      </w:r>
      <w:r w:rsidRPr="007223FB">
        <w:rPr>
          <w:rFonts w:eastAsia="Candara" w:cs="Candara"/>
          <w:w w:val="97"/>
        </w:rPr>
        <w:t>al</w:t>
      </w:r>
      <w:r w:rsidRPr="007223FB">
        <w:rPr>
          <w:rFonts w:eastAsia="Candara" w:cs="Candara"/>
          <w:spacing w:val="-2"/>
          <w:w w:val="97"/>
        </w:rPr>
        <w:t>i</w:t>
      </w:r>
      <w:r w:rsidRPr="007223FB">
        <w:rPr>
          <w:rFonts w:eastAsia="Candara" w:cs="Candara"/>
          <w:spacing w:val="1"/>
          <w:w w:val="97"/>
        </w:rPr>
        <w:t>d</w:t>
      </w:r>
      <w:r w:rsidRPr="007223FB">
        <w:rPr>
          <w:rFonts w:eastAsia="Candara" w:cs="Candara"/>
          <w:spacing w:val="-2"/>
          <w:w w:val="97"/>
        </w:rPr>
        <w:t>a</w:t>
      </w:r>
      <w:r w:rsidRPr="007223FB">
        <w:rPr>
          <w:rFonts w:eastAsia="Candara" w:cs="Candara"/>
          <w:w w:val="97"/>
        </w:rPr>
        <w:t>d</w:t>
      </w:r>
      <w:r w:rsidRPr="007223FB">
        <w:rPr>
          <w:rFonts w:eastAsia="Candara" w:cs="Candara"/>
          <w:spacing w:val="2"/>
          <w:w w:val="97"/>
        </w:rPr>
        <w:t xml:space="preserve"> </w:t>
      </w:r>
      <w:r w:rsidRPr="007223FB">
        <w:rPr>
          <w:rFonts w:eastAsia="Candara" w:cs="Candara"/>
          <w:spacing w:val="-1"/>
        </w:rPr>
        <w:t>d</w:t>
      </w:r>
      <w:r w:rsidRPr="007223FB">
        <w:rPr>
          <w:rFonts w:eastAsia="Candara" w:cs="Candara"/>
          <w:spacing w:val="-2"/>
        </w:rPr>
        <w:t>e</w:t>
      </w:r>
      <w:r w:rsidRPr="007223FB">
        <w:rPr>
          <w:rFonts w:eastAsia="Candara" w:cs="Candara"/>
        </w:rPr>
        <w:t xml:space="preserve">l </w:t>
      </w:r>
      <w:r w:rsidRPr="007223FB">
        <w:rPr>
          <w:rFonts w:eastAsia="Candara" w:cs="Candara"/>
          <w:spacing w:val="1"/>
        </w:rPr>
        <w:t>g</w:t>
      </w:r>
      <w:r w:rsidRPr="007223FB">
        <w:rPr>
          <w:rFonts w:eastAsia="Candara" w:cs="Candara"/>
        </w:rPr>
        <w:t>asto</w:t>
      </w:r>
      <w:r w:rsidRPr="007223FB">
        <w:rPr>
          <w:rFonts w:eastAsia="Candara" w:cs="Candara"/>
          <w:spacing w:val="9"/>
        </w:rPr>
        <w:t xml:space="preserve"> </w:t>
      </w:r>
      <w:r w:rsidRPr="007223FB">
        <w:rPr>
          <w:rFonts w:eastAsia="Candara" w:cs="Candara"/>
          <w:spacing w:val="-1"/>
        </w:rPr>
        <w:t>p</w:t>
      </w:r>
      <w:r w:rsidRPr="007223FB">
        <w:rPr>
          <w:rFonts w:eastAsia="Candara" w:cs="Candara"/>
        </w:rPr>
        <w:t>ú</w:t>
      </w:r>
      <w:r w:rsidRPr="007223FB">
        <w:rPr>
          <w:rFonts w:eastAsia="Candara" w:cs="Candara"/>
          <w:spacing w:val="1"/>
        </w:rPr>
        <w:t>b</w:t>
      </w:r>
      <w:r w:rsidRPr="007223FB">
        <w:rPr>
          <w:rFonts w:eastAsia="Candara" w:cs="Candara"/>
        </w:rPr>
        <w:t>li</w:t>
      </w:r>
      <w:r w:rsidRPr="007223FB">
        <w:rPr>
          <w:rFonts w:eastAsia="Candara" w:cs="Candara"/>
          <w:spacing w:val="-2"/>
        </w:rPr>
        <w:t>c</w:t>
      </w:r>
      <w:r w:rsidRPr="007223FB">
        <w:rPr>
          <w:rFonts w:eastAsia="Candara" w:cs="Candara"/>
          <w:spacing w:val="1"/>
        </w:rPr>
        <w:t>o</w:t>
      </w:r>
      <w:r w:rsidRPr="007223FB">
        <w:rPr>
          <w:rFonts w:eastAsia="Candara" w:cs="Candara"/>
        </w:rPr>
        <w:t>,</w:t>
      </w:r>
      <w:r w:rsidRPr="007223FB">
        <w:rPr>
          <w:rFonts w:eastAsia="Candara" w:cs="Candara"/>
          <w:spacing w:val="4"/>
        </w:rPr>
        <w:t xml:space="preserve"> </w:t>
      </w:r>
      <w:r w:rsidRPr="007223FB">
        <w:rPr>
          <w:rFonts w:eastAsia="Candara" w:cs="Candara"/>
          <w:spacing w:val="1"/>
        </w:rPr>
        <w:t>d</w:t>
      </w:r>
      <w:r w:rsidRPr="007223FB">
        <w:rPr>
          <w:rFonts w:eastAsia="Candara" w:cs="Candara"/>
          <w:spacing w:val="-2"/>
        </w:rPr>
        <w:t>e</w:t>
      </w:r>
      <w:r w:rsidRPr="007223FB">
        <w:rPr>
          <w:rFonts w:eastAsia="Candara" w:cs="Candara"/>
          <w:spacing w:val="1"/>
        </w:rPr>
        <w:t>be</w:t>
      </w:r>
      <w:r w:rsidRPr="007223FB">
        <w:rPr>
          <w:rFonts w:eastAsia="Candara" w:cs="Candara"/>
          <w:spacing w:val="-1"/>
        </w:rPr>
        <w:t>r</w:t>
      </w:r>
      <w:r w:rsidRPr="007223FB">
        <w:rPr>
          <w:rFonts w:eastAsia="Candara" w:cs="Candara"/>
        </w:rPr>
        <w:t>á</w:t>
      </w:r>
      <w:r w:rsidRPr="007223FB">
        <w:rPr>
          <w:rFonts w:eastAsia="Candara" w:cs="Candara"/>
          <w:spacing w:val="4"/>
        </w:rPr>
        <w:t xml:space="preserve"> </w:t>
      </w:r>
      <w:r w:rsidRPr="007223FB">
        <w:rPr>
          <w:rFonts w:eastAsia="Candara" w:cs="Candara"/>
          <w:spacing w:val="1"/>
        </w:rPr>
        <w:t>e</w:t>
      </w:r>
      <w:r w:rsidRPr="007223FB">
        <w:rPr>
          <w:rFonts w:eastAsia="Candara" w:cs="Candara"/>
        </w:rPr>
        <w:t>n</w:t>
      </w:r>
      <w:r w:rsidRPr="007223FB">
        <w:rPr>
          <w:rFonts w:eastAsia="Candara" w:cs="Candara"/>
          <w:spacing w:val="-3"/>
        </w:rPr>
        <w:t>t</w:t>
      </w:r>
      <w:r w:rsidRPr="007223FB">
        <w:rPr>
          <w:rFonts w:eastAsia="Candara" w:cs="Candara"/>
          <w:spacing w:val="-1"/>
        </w:rPr>
        <w:t>r</w:t>
      </w:r>
      <w:r w:rsidRPr="007223FB">
        <w:rPr>
          <w:rFonts w:eastAsia="Candara" w:cs="Candara"/>
          <w:spacing w:val="1"/>
        </w:rPr>
        <w:t>eg</w:t>
      </w:r>
      <w:r w:rsidRPr="007223FB">
        <w:rPr>
          <w:rFonts w:eastAsia="Candara" w:cs="Candara"/>
        </w:rPr>
        <w:t>ar</w:t>
      </w:r>
      <w:r w:rsidRPr="007223FB">
        <w:rPr>
          <w:rFonts w:eastAsia="Candara" w:cs="Candara"/>
          <w:spacing w:val="3"/>
        </w:rPr>
        <w:t xml:space="preserve"> </w:t>
      </w:r>
      <w:r w:rsidRPr="007223FB">
        <w:rPr>
          <w:rFonts w:eastAsia="Candara" w:cs="Candara"/>
          <w:spacing w:val="1"/>
        </w:rPr>
        <w:t>e</w:t>
      </w:r>
      <w:r w:rsidRPr="007223FB">
        <w:rPr>
          <w:rFonts w:eastAsia="Candara" w:cs="Candara"/>
        </w:rPr>
        <w:t>n</w:t>
      </w:r>
      <w:r w:rsidRPr="007223FB">
        <w:rPr>
          <w:rFonts w:eastAsia="Candara" w:cs="Candara"/>
          <w:spacing w:val="15"/>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15"/>
        </w:rPr>
        <w:t xml:space="preserve"> </w:t>
      </w:r>
      <w:r w:rsidRPr="007223FB">
        <w:rPr>
          <w:rFonts w:eastAsia="Candara" w:cs="Candara"/>
          <w:spacing w:val="-1"/>
        </w:rPr>
        <w:t>pr</w:t>
      </w:r>
      <w:r w:rsidRPr="007223FB">
        <w:rPr>
          <w:rFonts w:eastAsia="Candara" w:cs="Candara"/>
        </w:rPr>
        <w:t>i</w:t>
      </w:r>
      <w:r w:rsidRPr="007223FB">
        <w:rPr>
          <w:rFonts w:eastAsia="Candara" w:cs="Candara"/>
          <w:spacing w:val="1"/>
        </w:rPr>
        <w:t>me</w:t>
      </w:r>
      <w:r w:rsidRPr="007223FB">
        <w:rPr>
          <w:rFonts w:eastAsia="Candara" w:cs="Candara"/>
          <w:spacing w:val="-1"/>
        </w:rPr>
        <w:t>r</w:t>
      </w:r>
      <w:r w:rsidRPr="007223FB">
        <w:rPr>
          <w:rFonts w:eastAsia="Candara" w:cs="Candara"/>
          <w:spacing w:val="-2"/>
        </w:rPr>
        <w:t>o</w:t>
      </w:r>
      <w:r w:rsidRPr="007223FB">
        <w:rPr>
          <w:rFonts w:eastAsia="Candara" w:cs="Candara"/>
        </w:rPr>
        <w:t>s</w:t>
      </w:r>
      <w:r w:rsidRPr="007223FB">
        <w:rPr>
          <w:rFonts w:eastAsia="Candara" w:cs="Candara"/>
          <w:spacing w:val="5"/>
        </w:rPr>
        <w:t xml:space="preserve"> </w:t>
      </w:r>
      <w:r w:rsidRPr="007223FB">
        <w:rPr>
          <w:rFonts w:eastAsia="Candara" w:cs="Candara"/>
        </w:rPr>
        <w:t>q</w:t>
      </w:r>
      <w:r w:rsidRPr="007223FB">
        <w:rPr>
          <w:rFonts w:eastAsia="Candara" w:cs="Candara"/>
          <w:spacing w:val="-2"/>
        </w:rPr>
        <w:t>ui</w:t>
      </w:r>
      <w:r w:rsidRPr="007223FB">
        <w:rPr>
          <w:rFonts w:eastAsia="Candara" w:cs="Candara"/>
        </w:rPr>
        <w:t>n</w:t>
      </w:r>
      <w:r w:rsidRPr="007223FB">
        <w:rPr>
          <w:rFonts w:eastAsia="Candara" w:cs="Candara"/>
          <w:spacing w:val="1"/>
        </w:rPr>
        <w:t>c</w:t>
      </w:r>
      <w:r w:rsidRPr="007223FB">
        <w:rPr>
          <w:rFonts w:eastAsia="Candara" w:cs="Candara"/>
        </w:rPr>
        <w:t xml:space="preserve">e </w:t>
      </w:r>
      <w:r w:rsidRPr="007223FB">
        <w:rPr>
          <w:rFonts w:eastAsia="Candara" w:cs="Candara"/>
          <w:spacing w:val="1"/>
        </w:rPr>
        <w:t>d</w:t>
      </w:r>
      <w:r w:rsidRPr="007223FB">
        <w:rPr>
          <w:rFonts w:eastAsia="Candara" w:cs="Candara"/>
        </w:rPr>
        <w:t>ías</w:t>
      </w:r>
      <w:r w:rsidRPr="007223FB">
        <w:rPr>
          <w:rFonts w:eastAsia="Candara" w:cs="Candara"/>
          <w:spacing w:val="17"/>
        </w:rPr>
        <w:t xml:space="preserve"> </w:t>
      </w:r>
      <w:r w:rsidRPr="007223FB">
        <w:rPr>
          <w:rFonts w:eastAsia="Candara" w:cs="Candara"/>
          <w:spacing w:val="1"/>
        </w:rPr>
        <w:t>d</w:t>
      </w:r>
      <w:r w:rsidRPr="007223FB">
        <w:rPr>
          <w:rFonts w:eastAsia="Candara" w:cs="Candara"/>
        </w:rPr>
        <w:t>e</w:t>
      </w:r>
      <w:r w:rsidRPr="007223FB">
        <w:rPr>
          <w:rFonts w:eastAsia="Candara" w:cs="Candara"/>
          <w:spacing w:val="18"/>
        </w:rPr>
        <w:t xml:space="preserve"> </w:t>
      </w:r>
      <w:r w:rsidRPr="007223FB">
        <w:rPr>
          <w:rFonts w:eastAsia="Candara" w:cs="Candara"/>
          <w:spacing w:val="1"/>
        </w:rPr>
        <w:t>f</w:t>
      </w:r>
      <w:r w:rsidRPr="007223FB">
        <w:rPr>
          <w:rFonts w:eastAsia="Candara" w:cs="Candara"/>
        </w:rPr>
        <w:t>i</w:t>
      </w:r>
      <w:r w:rsidRPr="007223FB">
        <w:rPr>
          <w:rFonts w:eastAsia="Candara" w:cs="Candara"/>
          <w:spacing w:val="-2"/>
        </w:rPr>
        <w:t>n</w:t>
      </w:r>
      <w:r w:rsidRPr="007223FB">
        <w:rPr>
          <w:rFonts w:eastAsia="Candara" w:cs="Candara"/>
        </w:rPr>
        <w:t>ali</w:t>
      </w:r>
      <w:r w:rsidRPr="007223FB">
        <w:rPr>
          <w:rFonts w:eastAsia="Candara" w:cs="Candara"/>
          <w:spacing w:val="1"/>
        </w:rPr>
        <w:t>z</w:t>
      </w:r>
      <w:r w:rsidRPr="007223FB">
        <w:rPr>
          <w:rFonts w:eastAsia="Candara" w:cs="Candara"/>
          <w:spacing w:val="-2"/>
        </w:rPr>
        <w:t>a</w:t>
      </w:r>
      <w:r w:rsidRPr="007223FB">
        <w:rPr>
          <w:rFonts w:eastAsia="Candara" w:cs="Candara"/>
          <w:spacing w:val="1"/>
        </w:rPr>
        <w:t>d</w:t>
      </w:r>
      <w:r w:rsidRPr="007223FB">
        <w:rPr>
          <w:rFonts w:eastAsia="Candara" w:cs="Candara"/>
        </w:rPr>
        <w:t>o</w:t>
      </w:r>
      <w:r w:rsidRPr="007223FB">
        <w:rPr>
          <w:rFonts w:eastAsia="Candara" w:cs="Candara"/>
          <w:spacing w:val="3"/>
        </w:rPr>
        <w:t xml:space="preserve"> </w:t>
      </w:r>
      <w:r w:rsidRPr="007223FB">
        <w:rPr>
          <w:rFonts w:eastAsia="Candara" w:cs="Candara"/>
          <w:spacing w:val="1"/>
        </w:rPr>
        <w:t>c</w:t>
      </w:r>
      <w:r w:rsidRPr="007223FB">
        <w:rPr>
          <w:rFonts w:eastAsia="Candara" w:cs="Candara"/>
          <w:spacing w:val="-2"/>
        </w:rPr>
        <w:t>a</w:t>
      </w:r>
      <w:r w:rsidRPr="007223FB">
        <w:rPr>
          <w:rFonts w:eastAsia="Candara" w:cs="Candara"/>
          <w:spacing w:val="-1"/>
        </w:rPr>
        <w:t>d</w:t>
      </w:r>
      <w:r w:rsidRPr="007223FB">
        <w:rPr>
          <w:rFonts w:eastAsia="Candara" w:cs="Candara"/>
        </w:rPr>
        <w:t>a</w:t>
      </w:r>
      <w:r w:rsidRPr="007223FB">
        <w:rPr>
          <w:rFonts w:eastAsia="Candara" w:cs="Candara"/>
          <w:spacing w:val="16"/>
        </w:rPr>
        <w:t xml:space="preserve"> </w:t>
      </w:r>
      <w:r w:rsidRPr="007223FB">
        <w:rPr>
          <w:rFonts w:eastAsia="Candara" w:cs="Candara"/>
          <w:spacing w:val="1"/>
        </w:rPr>
        <w:t>c</w:t>
      </w:r>
      <w:r w:rsidRPr="007223FB">
        <w:rPr>
          <w:rFonts w:eastAsia="Candara" w:cs="Candara"/>
        </w:rPr>
        <w:t>uat</w:t>
      </w:r>
      <w:r w:rsidRPr="007223FB">
        <w:rPr>
          <w:rFonts w:eastAsia="Candara" w:cs="Candara"/>
          <w:spacing w:val="-1"/>
        </w:rPr>
        <w:t>r</w:t>
      </w:r>
      <w:r w:rsidRPr="007223FB">
        <w:rPr>
          <w:rFonts w:eastAsia="Candara" w:cs="Candara"/>
        </w:rPr>
        <w:t>i</w:t>
      </w:r>
      <w:r w:rsidRPr="007223FB">
        <w:rPr>
          <w:rFonts w:eastAsia="Candara" w:cs="Candara"/>
          <w:spacing w:val="-2"/>
        </w:rPr>
        <w:t>m</w:t>
      </w:r>
      <w:r w:rsidRPr="007223FB">
        <w:rPr>
          <w:rFonts w:eastAsia="Candara" w:cs="Candara"/>
          <w:spacing w:val="1"/>
        </w:rPr>
        <w:t>e</w:t>
      </w:r>
      <w:r w:rsidRPr="007223FB">
        <w:rPr>
          <w:rFonts w:eastAsia="Candara" w:cs="Candara"/>
        </w:rPr>
        <w:t>st</w:t>
      </w:r>
      <w:r w:rsidRPr="007223FB">
        <w:rPr>
          <w:rFonts w:eastAsia="Candara" w:cs="Candara"/>
          <w:spacing w:val="-1"/>
        </w:rPr>
        <w:t>r</w:t>
      </w:r>
      <w:r w:rsidRPr="007223FB">
        <w:rPr>
          <w:rFonts w:eastAsia="Candara" w:cs="Candara"/>
        </w:rPr>
        <w:t>e</w:t>
      </w:r>
      <w:r w:rsidRPr="007223FB">
        <w:rPr>
          <w:rFonts w:eastAsia="Candara" w:cs="Candara"/>
          <w:spacing w:val="-2"/>
        </w:rPr>
        <w:t xml:space="preserve"> </w:t>
      </w:r>
      <w:r w:rsidRPr="007223FB">
        <w:rPr>
          <w:rFonts w:eastAsia="Candara" w:cs="Candara"/>
          <w:spacing w:val="1"/>
        </w:rPr>
        <w:t>d</w:t>
      </w:r>
      <w:r w:rsidRPr="007223FB">
        <w:rPr>
          <w:rFonts w:eastAsia="Candara" w:cs="Candara"/>
          <w:spacing w:val="-2"/>
        </w:rPr>
        <w:t>e</w:t>
      </w:r>
      <w:r w:rsidRPr="007223FB">
        <w:rPr>
          <w:rFonts w:eastAsia="Candara" w:cs="Candara"/>
        </w:rPr>
        <w:t xml:space="preserve">l </w:t>
      </w:r>
      <w:r w:rsidRPr="007223FB">
        <w:rPr>
          <w:rFonts w:eastAsia="Candara" w:cs="Candara"/>
          <w:spacing w:val="1"/>
          <w:w w:val="95"/>
        </w:rPr>
        <w:t>e</w:t>
      </w:r>
      <w:r w:rsidRPr="007223FB">
        <w:rPr>
          <w:rFonts w:eastAsia="Candara" w:cs="Candara"/>
          <w:w w:val="95"/>
        </w:rPr>
        <w:t>j</w:t>
      </w:r>
      <w:r w:rsidRPr="007223FB">
        <w:rPr>
          <w:rFonts w:eastAsia="Candara" w:cs="Candara"/>
          <w:spacing w:val="1"/>
          <w:w w:val="95"/>
        </w:rPr>
        <w:t>e</w:t>
      </w:r>
      <w:r w:rsidRPr="007223FB">
        <w:rPr>
          <w:rFonts w:eastAsia="Candara" w:cs="Candara"/>
          <w:spacing w:val="-1"/>
          <w:w w:val="95"/>
        </w:rPr>
        <w:t>r</w:t>
      </w:r>
      <w:r w:rsidRPr="007223FB">
        <w:rPr>
          <w:rFonts w:eastAsia="Candara" w:cs="Candara"/>
          <w:spacing w:val="1"/>
          <w:w w:val="95"/>
        </w:rPr>
        <w:t>c</w:t>
      </w:r>
      <w:r w:rsidRPr="007223FB">
        <w:rPr>
          <w:rFonts w:eastAsia="Candara" w:cs="Candara"/>
          <w:w w:val="95"/>
        </w:rPr>
        <w:t>i</w:t>
      </w:r>
      <w:r w:rsidRPr="007223FB">
        <w:rPr>
          <w:rFonts w:eastAsia="Candara" w:cs="Candara"/>
          <w:spacing w:val="-2"/>
          <w:w w:val="95"/>
        </w:rPr>
        <w:t>c</w:t>
      </w:r>
      <w:r w:rsidRPr="007223FB">
        <w:rPr>
          <w:rFonts w:eastAsia="Candara" w:cs="Candara"/>
          <w:w w:val="95"/>
        </w:rPr>
        <w:t>io</w:t>
      </w:r>
      <w:r w:rsidRPr="007223FB">
        <w:rPr>
          <w:rFonts w:eastAsia="Candara" w:cs="Candara"/>
          <w:spacing w:val="8"/>
          <w:w w:val="95"/>
        </w:rPr>
        <w:t xml:space="preserve"> </w:t>
      </w:r>
      <w:r w:rsidRPr="007223FB">
        <w:rPr>
          <w:rFonts w:eastAsia="Candara" w:cs="Candara"/>
          <w:spacing w:val="1"/>
        </w:rPr>
        <w:t>f</w:t>
      </w:r>
      <w:r w:rsidRPr="007223FB">
        <w:rPr>
          <w:rFonts w:eastAsia="Candara" w:cs="Candara"/>
        </w:rPr>
        <w:t>is</w:t>
      </w:r>
      <w:r w:rsidRPr="007223FB">
        <w:rPr>
          <w:rFonts w:eastAsia="Candara" w:cs="Candara"/>
          <w:spacing w:val="1"/>
        </w:rPr>
        <w:t>c</w:t>
      </w:r>
      <w:r w:rsidRPr="007223FB">
        <w:rPr>
          <w:rFonts w:eastAsia="Candara" w:cs="Candara"/>
        </w:rPr>
        <w:t>al</w:t>
      </w:r>
      <w:r w:rsidRPr="007223FB">
        <w:rPr>
          <w:rFonts w:eastAsia="Candara" w:cs="Candara"/>
          <w:spacing w:val="-16"/>
        </w:rPr>
        <w:t xml:space="preserve"> </w:t>
      </w:r>
      <w:r w:rsidRPr="007223FB">
        <w:rPr>
          <w:rFonts w:eastAsia="Candara" w:cs="Candara"/>
        </w:rPr>
        <w:t>al</w:t>
      </w:r>
      <w:r w:rsidRPr="007223FB">
        <w:rPr>
          <w:rFonts w:eastAsia="Candara" w:cs="Candara"/>
          <w:spacing w:val="-3"/>
        </w:rPr>
        <w:t xml:space="preserve"> </w:t>
      </w:r>
      <w:r w:rsidRPr="007223FB">
        <w:rPr>
          <w:rFonts w:eastAsia="Candara" w:cs="Candara"/>
          <w:spacing w:val="-3"/>
          <w:w w:val="93"/>
        </w:rPr>
        <w:t>C</w:t>
      </w:r>
      <w:r w:rsidRPr="007223FB">
        <w:rPr>
          <w:rFonts w:eastAsia="Candara" w:cs="Candara"/>
          <w:spacing w:val="1"/>
          <w:w w:val="93"/>
        </w:rPr>
        <w:t>o</w:t>
      </w:r>
      <w:r w:rsidRPr="007223FB">
        <w:rPr>
          <w:rFonts w:eastAsia="Candara" w:cs="Candara"/>
          <w:w w:val="93"/>
        </w:rPr>
        <w:t>n</w:t>
      </w:r>
      <w:r w:rsidRPr="007223FB">
        <w:rPr>
          <w:rFonts w:eastAsia="Candara" w:cs="Candara"/>
          <w:spacing w:val="1"/>
          <w:w w:val="93"/>
        </w:rPr>
        <w:t>g</w:t>
      </w:r>
      <w:r w:rsidRPr="007223FB">
        <w:rPr>
          <w:rFonts w:eastAsia="Candara" w:cs="Candara"/>
          <w:spacing w:val="-1"/>
          <w:w w:val="93"/>
        </w:rPr>
        <w:t>r</w:t>
      </w:r>
      <w:r w:rsidRPr="007223FB">
        <w:rPr>
          <w:rFonts w:eastAsia="Candara" w:cs="Candara"/>
          <w:spacing w:val="1"/>
          <w:w w:val="93"/>
        </w:rPr>
        <w:t>e</w:t>
      </w:r>
      <w:r w:rsidRPr="007223FB">
        <w:rPr>
          <w:rFonts w:eastAsia="Candara" w:cs="Candara"/>
          <w:spacing w:val="-2"/>
          <w:w w:val="93"/>
        </w:rPr>
        <w:t>s</w:t>
      </w:r>
      <w:r w:rsidRPr="007223FB">
        <w:rPr>
          <w:rFonts w:eastAsia="Candara" w:cs="Candara"/>
          <w:w w:val="93"/>
        </w:rPr>
        <w:t>o</w:t>
      </w:r>
      <w:r w:rsidRPr="007223FB">
        <w:rPr>
          <w:rFonts w:eastAsia="Candara" w:cs="Candara"/>
          <w:spacing w:val="10"/>
          <w:w w:val="93"/>
        </w:rPr>
        <w:t xml:space="preserve"> </w:t>
      </w:r>
      <w:r w:rsidRPr="007223FB">
        <w:rPr>
          <w:rFonts w:eastAsia="Candara" w:cs="Candara"/>
          <w:spacing w:val="1"/>
        </w:rPr>
        <w:t>d</w:t>
      </w:r>
      <w:r w:rsidRPr="007223FB">
        <w:rPr>
          <w:rFonts w:eastAsia="Candara" w:cs="Candara"/>
        </w:rPr>
        <w:t>e</w:t>
      </w:r>
      <w:r w:rsidRPr="007223FB">
        <w:rPr>
          <w:rFonts w:eastAsia="Candara" w:cs="Candara"/>
          <w:spacing w:val="-10"/>
        </w:rPr>
        <w:t xml:space="preserve"> </w:t>
      </w:r>
      <w:r w:rsidRPr="007223FB">
        <w:rPr>
          <w:rFonts w:eastAsia="Candara" w:cs="Candara"/>
        </w:rPr>
        <w:t>la</w:t>
      </w:r>
      <w:r w:rsidRPr="007223FB">
        <w:rPr>
          <w:rFonts w:eastAsia="Candara" w:cs="Candara"/>
          <w:spacing w:val="-2"/>
        </w:rPr>
        <w:t xml:space="preserve"> </w:t>
      </w:r>
      <w:r w:rsidRPr="007223FB">
        <w:rPr>
          <w:rFonts w:eastAsia="Candara" w:cs="Candara"/>
          <w:spacing w:val="-2"/>
          <w:w w:val="95"/>
        </w:rPr>
        <w:t>R</w:t>
      </w:r>
      <w:r w:rsidRPr="007223FB">
        <w:rPr>
          <w:rFonts w:eastAsia="Candara" w:cs="Candara"/>
          <w:spacing w:val="1"/>
          <w:w w:val="95"/>
        </w:rPr>
        <w:t>e</w:t>
      </w:r>
      <w:r w:rsidRPr="007223FB">
        <w:rPr>
          <w:rFonts w:eastAsia="Candara" w:cs="Candara"/>
          <w:spacing w:val="-1"/>
          <w:w w:val="95"/>
        </w:rPr>
        <w:t>p</w:t>
      </w:r>
      <w:r w:rsidRPr="007223FB">
        <w:rPr>
          <w:rFonts w:eastAsia="Candara" w:cs="Candara"/>
          <w:w w:val="95"/>
        </w:rPr>
        <w:t>ú</w:t>
      </w:r>
      <w:r w:rsidRPr="007223FB">
        <w:rPr>
          <w:rFonts w:eastAsia="Candara" w:cs="Candara"/>
          <w:spacing w:val="1"/>
          <w:w w:val="95"/>
        </w:rPr>
        <w:t>b</w:t>
      </w:r>
      <w:r w:rsidRPr="007223FB">
        <w:rPr>
          <w:rFonts w:eastAsia="Candara" w:cs="Candara"/>
          <w:w w:val="95"/>
        </w:rPr>
        <w:t>l</w:t>
      </w:r>
      <w:r w:rsidRPr="007223FB">
        <w:rPr>
          <w:rFonts w:eastAsia="Candara" w:cs="Candara"/>
          <w:spacing w:val="-2"/>
          <w:w w:val="95"/>
        </w:rPr>
        <w:t>i</w:t>
      </w:r>
      <w:r w:rsidRPr="007223FB">
        <w:rPr>
          <w:rFonts w:eastAsia="Candara" w:cs="Candara"/>
          <w:spacing w:val="1"/>
          <w:w w:val="95"/>
        </w:rPr>
        <w:t>c</w:t>
      </w:r>
      <w:r w:rsidRPr="007223FB">
        <w:rPr>
          <w:rFonts w:eastAsia="Candara" w:cs="Candara"/>
          <w:w w:val="95"/>
        </w:rPr>
        <w:t>a,</w:t>
      </w:r>
      <w:r w:rsidRPr="007223FB">
        <w:rPr>
          <w:rFonts w:eastAsia="Candara" w:cs="Candara"/>
          <w:spacing w:val="9"/>
          <w:w w:val="95"/>
        </w:rPr>
        <w:t xml:space="preserve"> </w:t>
      </w:r>
      <w:r w:rsidRPr="007223FB">
        <w:rPr>
          <w:rFonts w:eastAsia="Candara" w:cs="Candara"/>
        </w:rPr>
        <w:t>las</w:t>
      </w:r>
      <w:r w:rsidRPr="007223FB">
        <w:rPr>
          <w:rFonts w:eastAsia="Candara" w:cs="Candara"/>
          <w:spacing w:val="-10"/>
        </w:rPr>
        <w:t xml:space="preserve"> </w:t>
      </w:r>
      <w:r w:rsidRPr="007223FB">
        <w:rPr>
          <w:rFonts w:eastAsia="Candara" w:cs="Candara"/>
          <w:spacing w:val="-2"/>
          <w:w w:val="96"/>
        </w:rPr>
        <w:t>m</w:t>
      </w:r>
      <w:r w:rsidRPr="007223FB">
        <w:rPr>
          <w:rFonts w:eastAsia="Candara" w:cs="Candara"/>
          <w:spacing w:val="1"/>
          <w:w w:val="96"/>
        </w:rPr>
        <w:t>e</w:t>
      </w:r>
      <w:r w:rsidRPr="007223FB">
        <w:rPr>
          <w:rFonts w:eastAsia="Candara" w:cs="Candara"/>
          <w:spacing w:val="-1"/>
          <w:w w:val="96"/>
        </w:rPr>
        <w:t>t</w:t>
      </w:r>
      <w:r w:rsidRPr="007223FB">
        <w:rPr>
          <w:rFonts w:eastAsia="Candara" w:cs="Candara"/>
          <w:w w:val="96"/>
        </w:rPr>
        <w:t>as</w:t>
      </w:r>
      <w:r w:rsidRPr="007223FB">
        <w:rPr>
          <w:rFonts w:eastAsia="Candara" w:cs="Candara"/>
          <w:spacing w:val="5"/>
          <w:w w:val="96"/>
        </w:rPr>
        <w:t xml:space="preserve"> </w:t>
      </w:r>
      <w:r w:rsidRPr="007223FB">
        <w:rPr>
          <w:rFonts w:eastAsia="Candara" w:cs="Candara"/>
        </w:rPr>
        <w:t>y</w:t>
      </w:r>
      <w:r w:rsidRPr="007223FB">
        <w:rPr>
          <w:rFonts w:eastAsia="Candara" w:cs="Candara"/>
          <w:spacing w:val="-4"/>
        </w:rPr>
        <w:t xml:space="preserve"> </w:t>
      </w:r>
      <w:r w:rsidRPr="007223FB">
        <w:rPr>
          <w:rFonts w:eastAsia="Candara" w:cs="Candara"/>
        </w:rPr>
        <w:t>sus</w:t>
      </w:r>
      <w:r w:rsidRPr="007223FB">
        <w:rPr>
          <w:rFonts w:eastAsia="Candara" w:cs="Candara"/>
          <w:spacing w:val="-17"/>
        </w:rPr>
        <w:t xml:space="preserve"> </w:t>
      </w:r>
      <w:r w:rsidRPr="007223FB">
        <w:rPr>
          <w:rFonts w:eastAsia="Candara" w:cs="Candara"/>
          <w:spacing w:val="-1"/>
          <w:w w:val="95"/>
        </w:rPr>
        <w:t>r</w:t>
      </w:r>
      <w:r w:rsidRPr="007223FB">
        <w:rPr>
          <w:rFonts w:eastAsia="Candara" w:cs="Candara"/>
          <w:spacing w:val="1"/>
          <w:w w:val="95"/>
        </w:rPr>
        <w:t>e</w:t>
      </w:r>
      <w:r w:rsidRPr="007223FB">
        <w:rPr>
          <w:rFonts w:eastAsia="Candara" w:cs="Candara"/>
          <w:w w:val="95"/>
        </w:rPr>
        <w:t>s</w:t>
      </w:r>
      <w:r w:rsidRPr="007223FB">
        <w:rPr>
          <w:rFonts w:eastAsia="Candara" w:cs="Candara"/>
          <w:spacing w:val="-1"/>
          <w:w w:val="95"/>
        </w:rPr>
        <w:t>p</w:t>
      </w:r>
      <w:r w:rsidRPr="007223FB">
        <w:rPr>
          <w:rFonts w:eastAsia="Candara" w:cs="Candara"/>
          <w:spacing w:val="1"/>
          <w:w w:val="95"/>
        </w:rPr>
        <w:t>ec</w:t>
      </w:r>
      <w:r w:rsidRPr="007223FB">
        <w:rPr>
          <w:rFonts w:eastAsia="Candara" w:cs="Candara"/>
          <w:w w:val="95"/>
        </w:rPr>
        <w:t>tiv</w:t>
      </w:r>
      <w:r w:rsidRPr="007223FB">
        <w:rPr>
          <w:rFonts w:eastAsia="Candara" w:cs="Candara"/>
          <w:spacing w:val="1"/>
          <w:w w:val="95"/>
        </w:rPr>
        <w:t>o</w:t>
      </w:r>
      <w:r w:rsidRPr="007223FB">
        <w:rPr>
          <w:rFonts w:eastAsia="Candara" w:cs="Candara"/>
          <w:w w:val="95"/>
        </w:rPr>
        <w:t>s</w:t>
      </w:r>
      <w:r w:rsidRPr="007223FB">
        <w:rPr>
          <w:rFonts w:eastAsia="Candara" w:cs="Candara"/>
          <w:spacing w:val="7"/>
          <w:w w:val="95"/>
        </w:rPr>
        <w:t xml:space="preserve"> </w:t>
      </w:r>
      <w:r w:rsidRPr="007223FB">
        <w:rPr>
          <w:rFonts w:eastAsia="Candara" w:cs="Candara"/>
          <w:w w:val="95"/>
        </w:rPr>
        <w:t>in</w:t>
      </w:r>
      <w:r w:rsidRPr="007223FB">
        <w:rPr>
          <w:rFonts w:eastAsia="Candara" w:cs="Candara"/>
          <w:spacing w:val="-1"/>
          <w:w w:val="95"/>
        </w:rPr>
        <w:t>d</w:t>
      </w:r>
      <w:r w:rsidRPr="007223FB">
        <w:rPr>
          <w:rFonts w:eastAsia="Candara" w:cs="Candara"/>
          <w:w w:val="95"/>
        </w:rPr>
        <w:t>i</w:t>
      </w:r>
      <w:r w:rsidRPr="007223FB">
        <w:rPr>
          <w:rFonts w:eastAsia="Candara" w:cs="Candara"/>
          <w:spacing w:val="1"/>
          <w:w w:val="95"/>
        </w:rPr>
        <w:t>c</w:t>
      </w:r>
      <w:r w:rsidRPr="007223FB">
        <w:rPr>
          <w:rFonts w:eastAsia="Candara" w:cs="Candara"/>
          <w:spacing w:val="-2"/>
          <w:w w:val="95"/>
        </w:rPr>
        <w:t>a</w:t>
      </w:r>
      <w:r w:rsidRPr="007223FB">
        <w:rPr>
          <w:rFonts w:eastAsia="Candara" w:cs="Candara"/>
          <w:spacing w:val="1"/>
          <w:w w:val="95"/>
        </w:rPr>
        <w:t>do</w:t>
      </w:r>
      <w:r w:rsidRPr="007223FB">
        <w:rPr>
          <w:rFonts w:eastAsia="Candara" w:cs="Candara"/>
          <w:spacing w:val="-1"/>
          <w:w w:val="95"/>
        </w:rPr>
        <w:t>r</w:t>
      </w:r>
      <w:r w:rsidRPr="007223FB">
        <w:rPr>
          <w:rFonts w:eastAsia="Candara" w:cs="Candara"/>
          <w:spacing w:val="-2"/>
          <w:w w:val="95"/>
        </w:rPr>
        <w:t>e</w:t>
      </w:r>
      <w:r w:rsidRPr="007223FB">
        <w:rPr>
          <w:rFonts w:eastAsia="Candara" w:cs="Candara"/>
          <w:w w:val="95"/>
        </w:rPr>
        <w:t>s</w:t>
      </w:r>
      <w:r w:rsidRPr="007223FB">
        <w:rPr>
          <w:rFonts w:eastAsia="Candara" w:cs="Candara"/>
          <w:spacing w:val="18"/>
          <w:w w:val="95"/>
        </w:rPr>
        <w:t xml:space="preserve"> </w:t>
      </w:r>
      <w:r w:rsidRPr="007223FB">
        <w:rPr>
          <w:rFonts w:eastAsia="Candara" w:cs="Candara"/>
          <w:spacing w:val="1"/>
        </w:rPr>
        <w:t>d</w:t>
      </w:r>
      <w:r w:rsidRPr="007223FB">
        <w:rPr>
          <w:rFonts w:eastAsia="Candara" w:cs="Candara"/>
        </w:rPr>
        <w:t>e</w:t>
      </w:r>
      <w:r w:rsidRPr="007223FB">
        <w:rPr>
          <w:rFonts w:eastAsia="Candara" w:cs="Candara"/>
          <w:spacing w:val="-12"/>
        </w:rPr>
        <w:t xml:space="preserve"> </w:t>
      </w:r>
      <w:r w:rsidRPr="007223FB">
        <w:rPr>
          <w:rFonts w:eastAsia="Candara" w:cs="Candara"/>
          <w:spacing w:val="1"/>
          <w:w w:val="94"/>
        </w:rPr>
        <w:t>de</w:t>
      </w:r>
      <w:r w:rsidRPr="007223FB">
        <w:rPr>
          <w:rFonts w:eastAsia="Candara" w:cs="Candara"/>
          <w:spacing w:val="-2"/>
          <w:w w:val="94"/>
        </w:rPr>
        <w:t>s</w:t>
      </w:r>
      <w:r w:rsidRPr="007223FB">
        <w:rPr>
          <w:rFonts w:eastAsia="Candara" w:cs="Candara"/>
          <w:spacing w:val="1"/>
          <w:w w:val="94"/>
        </w:rPr>
        <w:t>em</w:t>
      </w:r>
      <w:r w:rsidRPr="007223FB">
        <w:rPr>
          <w:rFonts w:eastAsia="Candara" w:cs="Candara"/>
          <w:spacing w:val="-1"/>
          <w:w w:val="94"/>
        </w:rPr>
        <w:t>p</w:t>
      </w:r>
      <w:r w:rsidRPr="007223FB">
        <w:rPr>
          <w:rFonts w:eastAsia="Candara" w:cs="Candara"/>
          <w:spacing w:val="1"/>
          <w:w w:val="94"/>
        </w:rPr>
        <w:t>e</w:t>
      </w:r>
      <w:r w:rsidRPr="007223FB">
        <w:rPr>
          <w:rFonts w:eastAsia="Candara" w:cs="Candara"/>
          <w:spacing w:val="-2"/>
          <w:w w:val="94"/>
        </w:rPr>
        <w:t>ñ</w:t>
      </w:r>
      <w:r w:rsidRPr="007223FB">
        <w:rPr>
          <w:rFonts w:eastAsia="Candara" w:cs="Candara"/>
          <w:w w:val="94"/>
        </w:rPr>
        <w:t>o</w:t>
      </w:r>
      <w:r w:rsidRPr="007223FB">
        <w:rPr>
          <w:rFonts w:eastAsia="Candara" w:cs="Candara"/>
          <w:spacing w:val="11"/>
          <w:w w:val="94"/>
        </w:rPr>
        <w:t xml:space="preserve"> </w:t>
      </w:r>
      <w:r w:rsidRPr="007223FB">
        <w:rPr>
          <w:rFonts w:eastAsia="Candara" w:cs="Candara"/>
        </w:rPr>
        <w:t xml:space="preserve">y </w:t>
      </w:r>
      <w:r w:rsidRPr="007223FB">
        <w:rPr>
          <w:rFonts w:eastAsia="Candara" w:cs="Candara"/>
          <w:spacing w:val="1"/>
        </w:rPr>
        <w:t>c</w:t>
      </w:r>
      <w:r w:rsidRPr="007223FB">
        <w:rPr>
          <w:rFonts w:eastAsia="Candara" w:cs="Candara"/>
        </w:rPr>
        <w:t>ali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7"/>
        </w:rPr>
        <w:t xml:space="preserve"> </w:t>
      </w:r>
      <w:r w:rsidRPr="007223FB">
        <w:rPr>
          <w:rFonts w:eastAsia="Candara" w:cs="Candara"/>
          <w:spacing w:val="1"/>
        </w:rPr>
        <w:t>de</w:t>
      </w:r>
      <w:r w:rsidRPr="007223FB">
        <w:rPr>
          <w:rFonts w:eastAsia="Candara" w:cs="Candara"/>
        </w:rPr>
        <w:t>l</w:t>
      </w:r>
      <w:r w:rsidRPr="007223FB">
        <w:rPr>
          <w:rFonts w:eastAsia="Candara" w:cs="Candara"/>
          <w:spacing w:val="-4"/>
        </w:rPr>
        <w:t xml:space="preserve"> </w:t>
      </w:r>
      <w:r w:rsidRPr="007223FB">
        <w:rPr>
          <w:rFonts w:eastAsia="Candara" w:cs="Candara"/>
          <w:spacing w:val="1"/>
        </w:rPr>
        <w:t>g</w:t>
      </w:r>
      <w:r w:rsidRPr="007223FB">
        <w:rPr>
          <w:rFonts w:eastAsia="Candara" w:cs="Candara"/>
        </w:rPr>
        <w:t>ast</w:t>
      </w:r>
      <w:r w:rsidRPr="007223FB">
        <w:rPr>
          <w:rFonts w:eastAsia="Candara" w:cs="Candara"/>
          <w:spacing w:val="1"/>
        </w:rPr>
        <w:t>o</w:t>
      </w:r>
      <w:r w:rsidRPr="007223FB">
        <w:rPr>
          <w:rFonts w:eastAsia="Candara" w:cs="Candara"/>
        </w:rPr>
        <w:t>,</w:t>
      </w:r>
      <w:r w:rsidRPr="007223FB">
        <w:rPr>
          <w:rFonts w:eastAsia="Candara" w:cs="Candara"/>
          <w:spacing w:val="-14"/>
        </w:rPr>
        <w:t xml:space="preserve"> </w:t>
      </w:r>
      <w:r w:rsidRPr="007223FB">
        <w:rPr>
          <w:rFonts w:eastAsia="Candara" w:cs="Candara"/>
        </w:rPr>
        <w:t>así</w:t>
      </w:r>
      <w:r w:rsidRPr="007223FB">
        <w:rPr>
          <w:rFonts w:eastAsia="Candara" w:cs="Candara"/>
          <w:spacing w:val="3"/>
        </w:rPr>
        <w:t xml:space="preserve"> </w:t>
      </w:r>
      <w:r w:rsidRPr="007223FB">
        <w:rPr>
          <w:rFonts w:eastAsia="Candara" w:cs="Candara"/>
          <w:spacing w:val="-2"/>
        </w:rPr>
        <w:t>c</w:t>
      </w:r>
      <w:r w:rsidRPr="007223FB">
        <w:rPr>
          <w:rFonts w:eastAsia="Candara" w:cs="Candara"/>
          <w:spacing w:val="1"/>
        </w:rPr>
        <w:t>o</w:t>
      </w:r>
      <w:r w:rsidRPr="007223FB">
        <w:rPr>
          <w:rFonts w:eastAsia="Candara" w:cs="Candara"/>
          <w:spacing w:val="-2"/>
        </w:rPr>
        <w:t>m</w:t>
      </w:r>
      <w:r w:rsidRPr="007223FB">
        <w:rPr>
          <w:rFonts w:eastAsia="Candara" w:cs="Candara"/>
        </w:rPr>
        <w:t>o</w:t>
      </w:r>
      <w:r w:rsidRPr="007223FB">
        <w:rPr>
          <w:rFonts w:eastAsia="Candara" w:cs="Candara"/>
          <w:spacing w:val="-17"/>
        </w:rPr>
        <w:t xml:space="preserve"> </w:t>
      </w:r>
      <w:r w:rsidRPr="007223FB">
        <w:rPr>
          <w:rFonts w:eastAsia="Candara" w:cs="Candara"/>
        </w:rPr>
        <w:t>la</w:t>
      </w:r>
      <w:r w:rsidRPr="007223FB">
        <w:rPr>
          <w:rFonts w:eastAsia="Candara" w:cs="Candara"/>
          <w:spacing w:val="7"/>
        </w:rPr>
        <w:t xml:space="preserve"> </w:t>
      </w:r>
      <w:r w:rsidRPr="007223FB">
        <w:rPr>
          <w:rFonts w:eastAsia="Candara" w:cs="Candara"/>
          <w:w w:val="96"/>
        </w:rPr>
        <w:t>in</w:t>
      </w:r>
      <w:r w:rsidRPr="007223FB">
        <w:rPr>
          <w:rFonts w:eastAsia="Candara" w:cs="Candara"/>
          <w:spacing w:val="-1"/>
          <w:w w:val="96"/>
        </w:rPr>
        <w:t>f</w:t>
      </w:r>
      <w:r w:rsidRPr="007223FB">
        <w:rPr>
          <w:rFonts w:eastAsia="Candara" w:cs="Candara"/>
          <w:spacing w:val="1"/>
          <w:w w:val="96"/>
        </w:rPr>
        <w:t>o</w:t>
      </w:r>
      <w:r w:rsidRPr="007223FB">
        <w:rPr>
          <w:rFonts w:eastAsia="Candara" w:cs="Candara"/>
          <w:spacing w:val="-1"/>
          <w:w w:val="96"/>
        </w:rPr>
        <w:t>r</w:t>
      </w:r>
      <w:r w:rsidRPr="007223FB">
        <w:rPr>
          <w:rFonts w:eastAsia="Candara" w:cs="Candara"/>
          <w:spacing w:val="1"/>
          <w:w w:val="96"/>
        </w:rPr>
        <w:t>m</w:t>
      </w:r>
      <w:r w:rsidRPr="007223FB">
        <w:rPr>
          <w:rFonts w:eastAsia="Candara" w:cs="Candara"/>
          <w:w w:val="96"/>
        </w:rPr>
        <w:t>a</w:t>
      </w:r>
      <w:r w:rsidRPr="007223FB">
        <w:rPr>
          <w:rFonts w:eastAsia="Candara" w:cs="Candara"/>
          <w:spacing w:val="1"/>
          <w:w w:val="96"/>
        </w:rPr>
        <w:t>c</w:t>
      </w:r>
      <w:r w:rsidRPr="007223FB">
        <w:rPr>
          <w:rFonts w:eastAsia="Candara" w:cs="Candara"/>
          <w:spacing w:val="-2"/>
          <w:w w:val="96"/>
        </w:rPr>
        <w:t>i</w:t>
      </w:r>
      <w:r w:rsidRPr="007223FB">
        <w:rPr>
          <w:rFonts w:eastAsia="Candara" w:cs="Candara"/>
          <w:spacing w:val="1"/>
          <w:w w:val="96"/>
        </w:rPr>
        <w:t>ó</w:t>
      </w:r>
      <w:r w:rsidRPr="007223FB">
        <w:rPr>
          <w:rFonts w:eastAsia="Candara" w:cs="Candara"/>
          <w:w w:val="96"/>
        </w:rPr>
        <w:t>n</w:t>
      </w:r>
      <w:r w:rsidRPr="007223FB">
        <w:rPr>
          <w:rFonts w:eastAsia="Candara" w:cs="Candara"/>
          <w:spacing w:val="23"/>
          <w:w w:val="96"/>
        </w:rPr>
        <w:t xml:space="preserve"> </w:t>
      </w:r>
      <w:r w:rsidRPr="007223FB">
        <w:rPr>
          <w:rFonts w:eastAsia="Candara" w:cs="Candara"/>
          <w:spacing w:val="1"/>
        </w:rPr>
        <w:t>o</w:t>
      </w:r>
      <w:r w:rsidRPr="007223FB">
        <w:rPr>
          <w:rFonts w:eastAsia="Candara" w:cs="Candara"/>
          <w:spacing w:val="-3"/>
        </w:rPr>
        <w:t>p</w:t>
      </w:r>
      <w:r w:rsidRPr="007223FB">
        <w:rPr>
          <w:rFonts w:eastAsia="Candara" w:cs="Candara"/>
          <w:spacing w:val="1"/>
        </w:rPr>
        <w:t>o</w:t>
      </w:r>
      <w:r w:rsidRPr="007223FB">
        <w:rPr>
          <w:rFonts w:eastAsia="Candara" w:cs="Candara"/>
          <w:spacing w:val="-1"/>
        </w:rPr>
        <w:t>r</w:t>
      </w:r>
      <w:r w:rsidRPr="007223FB">
        <w:rPr>
          <w:rFonts w:eastAsia="Candara" w:cs="Candara"/>
        </w:rPr>
        <w:t>tuna</w:t>
      </w:r>
      <w:r w:rsidRPr="007223FB">
        <w:rPr>
          <w:rFonts w:eastAsia="Candara" w:cs="Candara"/>
          <w:spacing w:val="-17"/>
        </w:rPr>
        <w:t xml:space="preserve"> </w:t>
      </w:r>
      <w:r w:rsidRPr="007223FB">
        <w:rPr>
          <w:rFonts w:eastAsia="Candara" w:cs="Candara"/>
          <w:spacing w:val="-3"/>
        </w:rPr>
        <w:t>q</w:t>
      </w:r>
      <w:r w:rsidRPr="007223FB">
        <w:rPr>
          <w:rFonts w:eastAsia="Candara" w:cs="Candara"/>
        </w:rPr>
        <w:t>ue</w:t>
      </w:r>
      <w:r w:rsidRPr="007223FB">
        <w:rPr>
          <w:rFonts w:eastAsia="Candara" w:cs="Candara"/>
          <w:spacing w:val="-8"/>
        </w:rPr>
        <w:t xml:space="preserve"> </w:t>
      </w:r>
      <w:r w:rsidRPr="007223FB">
        <w:rPr>
          <w:rFonts w:eastAsia="Candara" w:cs="Candara"/>
        </w:rPr>
        <w:t>a</w:t>
      </w:r>
      <w:r w:rsidRPr="007223FB">
        <w:rPr>
          <w:rFonts w:eastAsia="Candara" w:cs="Candara"/>
          <w:spacing w:val="1"/>
        </w:rPr>
        <w:t>c</w:t>
      </w:r>
      <w:r w:rsidRPr="007223FB">
        <w:rPr>
          <w:rFonts w:eastAsia="Candara" w:cs="Candara"/>
        </w:rPr>
        <w:t>tual</w:t>
      </w:r>
      <w:r w:rsidRPr="007223FB">
        <w:rPr>
          <w:rFonts w:eastAsia="Candara" w:cs="Candara"/>
          <w:spacing w:val="-2"/>
        </w:rPr>
        <w:t>i</w:t>
      </w:r>
      <w:r w:rsidRPr="007223FB">
        <w:rPr>
          <w:rFonts w:eastAsia="Candara" w:cs="Candara"/>
          <w:spacing w:val="1"/>
        </w:rPr>
        <w:t>c</w:t>
      </w:r>
      <w:r w:rsidRPr="007223FB">
        <w:rPr>
          <w:rFonts w:eastAsia="Candara" w:cs="Candara"/>
        </w:rPr>
        <w:t>e</w:t>
      </w:r>
      <w:r w:rsidRPr="007223FB">
        <w:rPr>
          <w:rFonts w:eastAsia="Candara" w:cs="Candara"/>
          <w:spacing w:val="-18"/>
        </w:rPr>
        <w:t xml:space="preserve"> </w:t>
      </w:r>
      <w:r w:rsidRPr="007223FB">
        <w:rPr>
          <w:rFonts w:eastAsia="Candara" w:cs="Candara"/>
          <w:spacing w:val="-3"/>
        </w:rPr>
        <w:t>l</w:t>
      </w:r>
      <w:r w:rsidRPr="007223FB">
        <w:rPr>
          <w:rFonts w:eastAsia="Candara" w:cs="Candara"/>
          <w:spacing w:val="1"/>
        </w:rPr>
        <w:t>o</w:t>
      </w:r>
      <w:r w:rsidRPr="007223FB">
        <w:rPr>
          <w:rFonts w:eastAsia="Candara" w:cs="Candara"/>
        </w:rPr>
        <w:t>s</w:t>
      </w:r>
      <w:r w:rsidRPr="007223FB">
        <w:rPr>
          <w:rFonts w:eastAsia="Candara" w:cs="Candara"/>
          <w:spacing w:val="-4"/>
        </w:rPr>
        <w:t xml:space="preserve"> </w:t>
      </w:r>
      <w:r w:rsidRPr="007223FB">
        <w:rPr>
          <w:rFonts w:eastAsia="Candara" w:cs="Candara"/>
          <w:w w:val="95"/>
        </w:rPr>
        <w:t>ava</w:t>
      </w:r>
      <w:r w:rsidRPr="007223FB">
        <w:rPr>
          <w:rFonts w:eastAsia="Candara" w:cs="Candara"/>
          <w:spacing w:val="-2"/>
          <w:w w:val="95"/>
        </w:rPr>
        <w:t>n</w:t>
      </w:r>
      <w:r w:rsidRPr="007223FB">
        <w:rPr>
          <w:rFonts w:eastAsia="Candara" w:cs="Candara"/>
          <w:spacing w:val="1"/>
          <w:w w:val="95"/>
        </w:rPr>
        <w:t>ce</w:t>
      </w:r>
      <w:r w:rsidRPr="007223FB">
        <w:rPr>
          <w:rFonts w:eastAsia="Candara" w:cs="Candara"/>
          <w:w w:val="95"/>
        </w:rPr>
        <w:t>s</w:t>
      </w:r>
      <w:r w:rsidRPr="007223FB">
        <w:rPr>
          <w:rFonts w:eastAsia="Candara" w:cs="Candara"/>
          <w:spacing w:val="10"/>
          <w:w w:val="95"/>
        </w:rPr>
        <w:t xml:space="preserve"> </w:t>
      </w:r>
      <w:r w:rsidRPr="007223FB">
        <w:rPr>
          <w:rFonts w:eastAsia="Candara" w:cs="Candara"/>
          <w:spacing w:val="1"/>
        </w:rPr>
        <w:t>c</w:t>
      </w:r>
      <w:r w:rsidRPr="007223FB">
        <w:rPr>
          <w:rFonts w:eastAsia="Candara" w:cs="Candara"/>
          <w:spacing w:val="-2"/>
        </w:rPr>
        <w:t>a</w:t>
      </w:r>
      <w:r w:rsidRPr="007223FB">
        <w:rPr>
          <w:rFonts w:eastAsia="Candara" w:cs="Candara"/>
          <w:spacing w:val="1"/>
        </w:rPr>
        <w:t>d</w:t>
      </w:r>
      <w:r w:rsidRPr="007223FB">
        <w:rPr>
          <w:rFonts w:eastAsia="Candara" w:cs="Candara"/>
        </w:rPr>
        <w:t>a</w:t>
      </w:r>
      <w:r w:rsidRPr="007223FB">
        <w:rPr>
          <w:rFonts w:eastAsia="Candara" w:cs="Candara"/>
          <w:spacing w:val="-6"/>
        </w:rPr>
        <w:t xml:space="preserve"> </w:t>
      </w:r>
      <w:r w:rsidRPr="007223FB">
        <w:rPr>
          <w:rFonts w:eastAsia="Candara" w:cs="Candara"/>
          <w:spacing w:val="1"/>
        </w:rPr>
        <w:t>c</w:t>
      </w:r>
      <w:r w:rsidRPr="007223FB">
        <w:rPr>
          <w:rFonts w:eastAsia="Candara" w:cs="Candara"/>
        </w:rPr>
        <w:t>uat</w:t>
      </w:r>
      <w:r w:rsidRPr="007223FB">
        <w:rPr>
          <w:rFonts w:eastAsia="Candara" w:cs="Candara"/>
          <w:spacing w:val="-3"/>
        </w:rPr>
        <w:t>r</w:t>
      </w:r>
      <w:r w:rsidRPr="007223FB">
        <w:rPr>
          <w:rFonts w:eastAsia="Candara" w:cs="Candara"/>
        </w:rPr>
        <w:t>o</w:t>
      </w:r>
      <w:r w:rsidRPr="007223FB">
        <w:rPr>
          <w:rFonts w:eastAsia="Candara" w:cs="Candara"/>
          <w:spacing w:val="-6"/>
        </w:rPr>
        <w:t xml:space="preserve"> </w:t>
      </w:r>
      <w:r w:rsidRPr="007223FB">
        <w:rPr>
          <w:rFonts w:eastAsia="Candara" w:cs="Candara"/>
          <w:spacing w:val="-2"/>
        </w:rPr>
        <w:t>m</w:t>
      </w:r>
      <w:r w:rsidRPr="007223FB">
        <w:rPr>
          <w:rFonts w:eastAsia="Candara" w:cs="Candara"/>
          <w:spacing w:val="1"/>
        </w:rPr>
        <w:t>e</w:t>
      </w:r>
      <w:r w:rsidRPr="007223FB">
        <w:rPr>
          <w:rFonts w:eastAsia="Candara" w:cs="Candara"/>
        </w:rPr>
        <w:t>s</w:t>
      </w:r>
      <w:r w:rsidRPr="007223FB">
        <w:rPr>
          <w:rFonts w:eastAsia="Candara" w:cs="Candara"/>
          <w:spacing w:val="1"/>
        </w:rPr>
        <w:t>e</w:t>
      </w:r>
      <w:r w:rsidRPr="007223FB">
        <w:rPr>
          <w:rFonts w:eastAsia="Candara" w:cs="Candara"/>
        </w:rPr>
        <w:t xml:space="preserve">s. </w:t>
      </w:r>
      <w:r w:rsidRPr="007223FB">
        <w:rPr>
          <w:rFonts w:eastAsia="Candara" w:cs="Candara"/>
          <w:spacing w:val="-1"/>
        </w:rPr>
        <w:t>T</w:t>
      </w:r>
      <w:r w:rsidRPr="007223FB">
        <w:rPr>
          <w:rFonts w:eastAsia="Candara" w:cs="Candara"/>
        </w:rPr>
        <w:t>a</w:t>
      </w:r>
      <w:r w:rsidRPr="007223FB">
        <w:rPr>
          <w:rFonts w:eastAsia="Candara" w:cs="Candara"/>
          <w:spacing w:val="1"/>
        </w:rPr>
        <w:t>mb</w:t>
      </w:r>
      <w:r w:rsidRPr="007223FB">
        <w:rPr>
          <w:rFonts w:eastAsia="Candara" w:cs="Candara"/>
        </w:rPr>
        <w:t>i</w:t>
      </w:r>
      <w:r w:rsidRPr="007223FB">
        <w:rPr>
          <w:rFonts w:eastAsia="Candara" w:cs="Candara"/>
          <w:spacing w:val="1"/>
        </w:rPr>
        <w:t>é</w:t>
      </w:r>
      <w:r w:rsidRPr="007223FB">
        <w:rPr>
          <w:rFonts w:eastAsia="Candara" w:cs="Candara"/>
        </w:rPr>
        <w:t>n</w:t>
      </w:r>
      <w:r w:rsidRPr="007223FB">
        <w:rPr>
          <w:rFonts w:eastAsia="Candara" w:cs="Candara"/>
          <w:spacing w:val="-13"/>
        </w:rPr>
        <w:t xml:space="preserve"> </w:t>
      </w:r>
      <w:r w:rsidRPr="007223FB">
        <w:rPr>
          <w:rFonts w:eastAsia="Candara" w:cs="Candara"/>
          <w:spacing w:val="1"/>
        </w:rPr>
        <w:t>f</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3"/>
        </w:rPr>
        <w:t>l</w:t>
      </w:r>
      <w:r w:rsidRPr="007223FB">
        <w:rPr>
          <w:rFonts w:eastAsia="Candara" w:cs="Candara"/>
        </w:rPr>
        <w:t>ita</w:t>
      </w:r>
      <w:r w:rsidRPr="007223FB">
        <w:rPr>
          <w:rFonts w:eastAsia="Candara" w:cs="Candara"/>
          <w:spacing w:val="-1"/>
        </w:rPr>
        <w:t>r</w:t>
      </w:r>
      <w:r w:rsidRPr="007223FB">
        <w:rPr>
          <w:rFonts w:eastAsia="Candara" w:cs="Candara"/>
        </w:rPr>
        <w:t>á</w:t>
      </w:r>
      <w:r w:rsidRPr="007223FB">
        <w:rPr>
          <w:rFonts w:eastAsia="Candara" w:cs="Candara"/>
          <w:spacing w:val="3"/>
        </w:rPr>
        <w:t xml:space="preserve"> </w:t>
      </w:r>
      <w:r w:rsidRPr="007223FB">
        <w:rPr>
          <w:rFonts w:eastAsia="Candara" w:cs="Candara"/>
          <w:spacing w:val="1"/>
        </w:rPr>
        <w:t>e</w:t>
      </w:r>
      <w:r w:rsidRPr="007223FB">
        <w:rPr>
          <w:rFonts w:eastAsia="Candara" w:cs="Candara"/>
        </w:rPr>
        <w:t>l</w:t>
      </w:r>
      <w:r w:rsidRPr="007223FB">
        <w:rPr>
          <w:rFonts w:eastAsia="Candara" w:cs="Candara"/>
          <w:spacing w:val="3"/>
        </w:rPr>
        <w:t xml:space="preserve"> </w:t>
      </w:r>
      <w:r w:rsidRPr="007223FB">
        <w:rPr>
          <w:rFonts w:eastAsia="Candara" w:cs="Candara"/>
          <w:w w:val="93"/>
        </w:rPr>
        <w:t>a</w:t>
      </w:r>
      <w:r w:rsidRPr="007223FB">
        <w:rPr>
          <w:rFonts w:eastAsia="Candara" w:cs="Candara"/>
          <w:spacing w:val="1"/>
          <w:w w:val="93"/>
        </w:rPr>
        <w:t>c</w:t>
      </w:r>
      <w:r w:rsidRPr="007223FB">
        <w:rPr>
          <w:rFonts w:eastAsia="Candara" w:cs="Candara"/>
          <w:spacing w:val="-2"/>
          <w:w w:val="93"/>
        </w:rPr>
        <w:t>c</w:t>
      </w:r>
      <w:r w:rsidRPr="007223FB">
        <w:rPr>
          <w:rFonts w:eastAsia="Candara" w:cs="Candara"/>
          <w:spacing w:val="1"/>
          <w:w w:val="93"/>
        </w:rPr>
        <w:t>e</w:t>
      </w:r>
      <w:r w:rsidRPr="007223FB">
        <w:rPr>
          <w:rFonts w:eastAsia="Candara" w:cs="Candara"/>
          <w:spacing w:val="-2"/>
          <w:w w:val="93"/>
        </w:rPr>
        <w:t>s</w:t>
      </w:r>
      <w:r w:rsidRPr="007223FB">
        <w:rPr>
          <w:rFonts w:eastAsia="Candara" w:cs="Candara"/>
          <w:w w:val="93"/>
        </w:rPr>
        <w:t>o</w:t>
      </w:r>
      <w:r w:rsidRPr="007223FB">
        <w:rPr>
          <w:rFonts w:eastAsia="Candara" w:cs="Candara"/>
          <w:spacing w:val="21"/>
          <w:w w:val="93"/>
        </w:rPr>
        <w:t xml:space="preserve"> </w:t>
      </w:r>
      <w:r w:rsidRPr="007223FB">
        <w:rPr>
          <w:rFonts w:eastAsia="Candara" w:cs="Candara"/>
        </w:rPr>
        <w:t>a</w:t>
      </w:r>
      <w:r w:rsidRPr="007223FB">
        <w:rPr>
          <w:rFonts w:eastAsia="Candara" w:cs="Candara"/>
          <w:spacing w:val="10"/>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sist</w:t>
      </w:r>
      <w:r w:rsidRPr="007223FB">
        <w:rPr>
          <w:rFonts w:eastAsia="Candara" w:cs="Candara"/>
          <w:spacing w:val="-2"/>
        </w:rPr>
        <w:t>e</w:t>
      </w:r>
      <w:r w:rsidRPr="007223FB">
        <w:rPr>
          <w:rFonts w:eastAsia="Candara" w:cs="Candara"/>
          <w:spacing w:val="1"/>
        </w:rPr>
        <w:t>m</w:t>
      </w:r>
      <w:r w:rsidRPr="007223FB">
        <w:rPr>
          <w:rFonts w:eastAsia="Candara" w:cs="Candara"/>
        </w:rPr>
        <w:t>as</w:t>
      </w:r>
      <w:r w:rsidRPr="007223FB">
        <w:rPr>
          <w:rFonts w:eastAsia="Candara" w:cs="Candara"/>
          <w:spacing w:val="-18"/>
        </w:rPr>
        <w:t xml:space="preserve"> </w:t>
      </w:r>
      <w:r w:rsidRPr="007223FB">
        <w:rPr>
          <w:rFonts w:eastAsia="Candara" w:cs="Candara"/>
          <w:w w:val="97"/>
        </w:rPr>
        <w:t>in</w:t>
      </w:r>
      <w:r w:rsidRPr="007223FB">
        <w:rPr>
          <w:rFonts w:eastAsia="Candara" w:cs="Candara"/>
          <w:spacing w:val="-1"/>
          <w:w w:val="97"/>
        </w:rPr>
        <w:t>f</w:t>
      </w:r>
      <w:r w:rsidRPr="007223FB">
        <w:rPr>
          <w:rFonts w:eastAsia="Candara" w:cs="Candara"/>
          <w:spacing w:val="1"/>
          <w:w w:val="97"/>
        </w:rPr>
        <w:t>o</w:t>
      </w:r>
      <w:r w:rsidRPr="007223FB">
        <w:rPr>
          <w:rFonts w:eastAsia="Candara" w:cs="Candara"/>
          <w:spacing w:val="-1"/>
          <w:w w:val="97"/>
        </w:rPr>
        <w:t>r</w:t>
      </w:r>
      <w:r w:rsidRPr="007223FB">
        <w:rPr>
          <w:rFonts w:eastAsia="Candara" w:cs="Candara"/>
          <w:spacing w:val="1"/>
          <w:w w:val="97"/>
        </w:rPr>
        <w:t>m</w:t>
      </w:r>
      <w:r w:rsidRPr="007223FB">
        <w:rPr>
          <w:rFonts w:eastAsia="Candara" w:cs="Candara"/>
          <w:w w:val="97"/>
        </w:rPr>
        <w:t>át</w:t>
      </w:r>
      <w:r w:rsidRPr="007223FB">
        <w:rPr>
          <w:rFonts w:eastAsia="Candara" w:cs="Candara"/>
          <w:spacing w:val="-2"/>
          <w:w w:val="97"/>
        </w:rPr>
        <w:t>ic</w:t>
      </w:r>
      <w:r w:rsidRPr="007223FB">
        <w:rPr>
          <w:rFonts w:eastAsia="Candara" w:cs="Candara"/>
          <w:spacing w:val="-1"/>
          <w:w w:val="97"/>
        </w:rPr>
        <w:t>o</w:t>
      </w:r>
      <w:r w:rsidRPr="007223FB">
        <w:rPr>
          <w:rFonts w:eastAsia="Candara" w:cs="Candara"/>
          <w:w w:val="97"/>
        </w:rPr>
        <w:t>s</w:t>
      </w:r>
      <w:r w:rsidRPr="007223FB">
        <w:rPr>
          <w:rFonts w:eastAsia="Candara" w:cs="Candara"/>
          <w:spacing w:val="15"/>
          <w:w w:val="97"/>
        </w:rPr>
        <w:t xml:space="preserve"> </w:t>
      </w:r>
      <w:r w:rsidRPr="007223FB">
        <w:rPr>
          <w:rFonts w:eastAsia="Candara" w:cs="Candara"/>
          <w:spacing w:val="1"/>
        </w:rPr>
        <w:t>e</w:t>
      </w:r>
      <w:r w:rsidRPr="007223FB">
        <w:rPr>
          <w:rFonts w:eastAsia="Candara" w:cs="Candara"/>
        </w:rPr>
        <w:t>n</w:t>
      </w:r>
      <w:r w:rsidRPr="007223FB">
        <w:rPr>
          <w:rFonts w:eastAsia="Candara" w:cs="Candara"/>
          <w:spacing w:val="-2"/>
        </w:rPr>
        <w:t xml:space="preserve"> </w:t>
      </w:r>
      <w:r w:rsidRPr="007223FB">
        <w:rPr>
          <w:rFonts w:eastAsia="Candara" w:cs="Candara"/>
        </w:rPr>
        <w:t>que</w:t>
      </w:r>
      <w:r w:rsidRPr="007223FB">
        <w:rPr>
          <w:rFonts w:eastAsia="Candara" w:cs="Candara"/>
          <w:spacing w:val="-6"/>
        </w:rPr>
        <w:t xml:space="preserve"> </w:t>
      </w:r>
      <w:r w:rsidRPr="007223FB">
        <w:rPr>
          <w:rFonts w:eastAsia="Candara" w:cs="Candara"/>
          <w:spacing w:val="-2"/>
        </w:rPr>
        <w:t>s</w:t>
      </w:r>
      <w:r w:rsidRPr="007223FB">
        <w:rPr>
          <w:rFonts w:eastAsia="Candara" w:cs="Candara"/>
        </w:rPr>
        <w:t>e</w:t>
      </w:r>
      <w:r w:rsidRPr="007223FB">
        <w:rPr>
          <w:rFonts w:eastAsia="Candara" w:cs="Candara"/>
          <w:spacing w:val="-2"/>
        </w:rPr>
        <w:t xml:space="preserve"> </w:t>
      </w:r>
      <w:r w:rsidRPr="007223FB">
        <w:rPr>
          <w:rFonts w:eastAsia="Candara" w:cs="Candara"/>
          <w:spacing w:val="1"/>
          <w:w w:val="94"/>
        </w:rPr>
        <w:t>o</w:t>
      </w:r>
      <w:r w:rsidRPr="007223FB">
        <w:rPr>
          <w:rFonts w:eastAsia="Candara" w:cs="Candara"/>
          <w:spacing w:val="-1"/>
          <w:w w:val="94"/>
        </w:rPr>
        <w:t>p</w:t>
      </w:r>
      <w:r w:rsidRPr="007223FB">
        <w:rPr>
          <w:rFonts w:eastAsia="Candara" w:cs="Candara"/>
          <w:spacing w:val="1"/>
          <w:w w:val="94"/>
        </w:rPr>
        <w:t>e</w:t>
      </w:r>
      <w:r w:rsidRPr="007223FB">
        <w:rPr>
          <w:rFonts w:eastAsia="Candara" w:cs="Candara"/>
          <w:spacing w:val="-1"/>
          <w:w w:val="94"/>
        </w:rPr>
        <w:t>r</w:t>
      </w:r>
      <w:r w:rsidRPr="007223FB">
        <w:rPr>
          <w:rFonts w:eastAsia="Candara" w:cs="Candara"/>
          <w:spacing w:val="1"/>
          <w:w w:val="94"/>
        </w:rPr>
        <w:t>e</w:t>
      </w:r>
      <w:r w:rsidRPr="007223FB">
        <w:rPr>
          <w:rFonts w:eastAsia="Candara" w:cs="Candara"/>
          <w:w w:val="94"/>
        </w:rPr>
        <w:t>n</w:t>
      </w:r>
      <w:r w:rsidRPr="007223FB">
        <w:rPr>
          <w:rFonts w:eastAsia="Candara" w:cs="Candara"/>
          <w:spacing w:val="21"/>
          <w:w w:val="94"/>
        </w:rPr>
        <w:t xml:space="preserve"> </w:t>
      </w:r>
      <w:r w:rsidRPr="007223FB">
        <w:rPr>
          <w:rFonts w:eastAsia="Candara" w:cs="Candara"/>
          <w:spacing w:val="-3"/>
        </w:rPr>
        <w:t>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m</w:t>
      </w:r>
      <w:r w:rsidRPr="007223FB">
        <w:rPr>
          <w:rFonts w:eastAsia="Candara" w:cs="Candara"/>
          <w:spacing w:val="-2"/>
        </w:rPr>
        <w:t>i</w:t>
      </w:r>
      <w:r w:rsidRPr="007223FB">
        <w:rPr>
          <w:rFonts w:eastAsia="Candara" w:cs="Candara"/>
        </w:rPr>
        <w:t>s</w:t>
      </w:r>
      <w:r w:rsidRPr="007223FB">
        <w:rPr>
          <w:rFonts w:eastAsia="Candara" w:cs="Candara"/>
          <w:spacing w:val="1"/>
        </w:rPr>
        <w:t>mo</w:t>
      </w:r>
      <w:r w:rsidRPr="007223FB">
        <w:rPr>
          <w:rFonts w:eastAsia="Candara" w:cs="Candara"/>
        </w:rPr>
        <w:t>s</w:t>
      </w:r>
      <w:r w:rsidRPr="007223FB">
        <w:rPr>
          <w:rFonts w:eastAsia="Candara" w:cs="Candara"/>
          <w:spacing w:val="-14"/>
        </w:rPr>
        <w:t xml:space="preserve"> </w:t>
      </w:r>
      <w:r w:rsidRPr="007223FB">
        <w:rPr>
          <w:rFonts w:eastAsia="Candara" w:cs="Candara"/>
        </w:rPr>
        <w:t>y</w:t>
      </w:r>
      <w:r w:rsidRPr="007223FB">
        <w:rPr>
          <w:rFonts w:eastAsia="Candara" w:cs="Candara"/>
          <w:spacing w:val="10"/>
        </w:rPr>
        <w:t xml:space="preserve"> </w:t>
      </w:r>
      <w:r w:rsidRPr="007223FB">
        <w:rPr>
          <w:rFonts w:eastAsia="Candara" w:cs="Candara"/>
          <w:spacing w:val="-3"/>
        </w:rPr>
        <w:t>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p</w:t>
      </w:r>
      <w:r w:rsidRPr="007223FB">
        <w:rPr>
          <w:rFonts w:eastAsia="Candara" w:cs="Candara"/>
        </w:rPr>
        <w:t>lan</w:t>
      </w:r>
      <w:r w:rsidRPr="007223FB">
        <w:rPr>
          <w:rFonts w:eastAsia="Candara" w:cs="Candara"/>
          <w:spacing w:val="1"/>
        </w:rPr>
        <w:t>e</w:t>
      </w:r>
      <w:r w:rsidRPr="007223FB">
        <w:rPr>
          <w:rFonts w:eastAsia="Candara" w:cs="Candara"/>
        </w:rPr>
        <w:t xml:space="preserve">s </w:t>
      </w:r>
      <w:r w:rsidRPr="007223FB">
        <w:rPr>
          <w:rFonts w:eastAsia="Candara" w:cs="Candara"/>
          <w:spacing w:val="1"/>
          <w:w w:val="96"/>
        </w:rPr>
        <w:t>o</w:t>
      </w:r>
      <w:r w:rsidRPr="007223FB">
        <w:rPr>
          <w:rFonts w:eastAsia="Candara" w:cs="Candara"/>
          <w:spacing w:val="-1"/>
          <w:w w:val="96"/>
        </w:rPr>
        <w:t>p</w:t>
      </w:r>
      <w:r w:rsidRPr="007223FB">
        <w:rPr>
          <w:rFonts w:eastAsia="Candara" w:cs="Candara"/>
          <w:spacing w:val="1"/>
          <w:w w:val="96"/>
        </w:rPr>
        <w:t>e</w:t>
      </w:r>
      <w:r w:rsidRPr="007223FB">
        <w:rPr>
          <w:rFonts w:eastAsia="Candara" w:cs="Candara"/>
          <w:spacing w:val="-1"/>
          <w:w w:val="96"/>
        </w:rPr>
        <w:t>r</w:t>
      </w:r>
      <w:r w:rsidRPr="007223FB">
        <w:rPr>
          <w:rFonts w:eastAsia="Candara" w:cs="Candara"/>
          <w:w w:val="96"/>
        </w:rPr>
        <w:t>ativ</w:t>
      </w:r>
      <w:r w:rsidRPr="007223FB">
        <w:rPr>
          <w:rFonts w:eastAsia="Candara" w:cs="Candara"/>
          <w:spacing w:val="1"/>
          <w:w w:val="96"/>
        </w:rPr>
        <w:t>o</w:t>
      </w:r>
      <w:r w:rsidRPr="007223FB">
        <w:rPr>
          <w:rFonts w:eastAsia="Candara" w:cs="Candara"/>
          <w:w w:val="96"/>
        </w:rPr>
        <w:t>s</w:t>
      </w:r>
      <w:r w:rsidRPr="007223FB">
        <w:rPr>
          <w:rFonts w:eastAsia="Candara" w:cs="Candara"/>
          <w:spacing w:val="4"/>
          <w:w w:val="96"/>
        </w:rPr>
        <w:t xml:space="preserve"> </w:t>
      </w:r>
      <w:r w:rsidRPr="007223FB">
        <w:rPr>
          <w:rFonts w:eastAsia="Candara" w:cs="Candara"/>
        </w:rPr>
        <w:t>an</w:t>
      </w:r>
      <w:r w:rsidRPr="007223FB">
        <w:rPr>
          <w:rFonts w:eastAsia="Candara" w:cs="Candara"/>
          <w:spacing w:val="-2"/>
        </w:rPr>
        <w:t>u</w:t>
      </w:r>
      <w:r w:rsidRPr="007223FB">
        <w:rPr>
          <w:rFonts w:eastAsia="Candara" w:cs="Candara"/>
        </w:rPr>
        <w:t>al</w:t>
      </w:r>
      <w:r w:rsidRPr="007223FB">
        <w:rPr>
          <w:rFonts w:eastAsia="Candara" w:cs="Candara"/>
          <w:spacing w:val="1"/>
        </w:rPr>
        <w:t>e</w:t>
      </w:r>
      <w:r w:rsidRPr="007223FB">
        <w:rPr>
          <w:rFonts w:eastAsia="Candara" w:cs="Candara"/>
          <w:spacing w:val="-1"/>
        </w:rPr>
        <w:t>s”</w:t>
      </w:r>
      <w:r w:rsidRPr="007223FB">
        <w:rPr>
          <w:rFonts w:eastAsia="Candara" w:cs="Candara"/>
        </w:rPr>
        <w:t>.</w:t>
      </w:r>
    </w:p>
    <w:p w:rsidR="007D0929" w:rsidRPr="007223FB" w:rsidRDefault="007D0929" w:rsidP="006C13F5">
      <w:pPr>
        <w:spacing w:before="120" w:after="120" w:line="240" w:lineRule="auto"/>
        <w:ind w:right="57"/>
        <w:rPr>
          <w:rFonts w:eastAsia="Candara" w:cs="Candara"/>
        </w:rPr>
      </w:pPr>
      <w:r w:rsidRPr="007223FB">
        <w:rPr>
          <w:rFonts w:eastAsia="Candara" w:cs="Candara"/>
        </w:rPr>
        <w:t>El objetivo de dicho informe es dar cuenta sobre</w:t>
      </w:r>
      <w:r w:rsidRPr="007223FB">
        <w:rPr>
          <w:rFonts w:eastAsia="Candara" w:cs="Candara"/>
          <w:spacing w:val="3"/>
        </w:rPr>
        <w:t xml:space="preserve"> </w:t>
      </w:r>
      <w:r w:rsidRPr="007223FB">
        <w:rPr>
          <w:rFonts w:eastAsia="Candara" w:cs="Candara"/>
        </w:rPr>
        <w:t>el</w:t>
      </w:r>
      <w:r w:rsidRPr="007223FB">
        <w:rPr>
          <w:rFonts w:eastAsia="Candara" w:cs="Candara"/>
          <w:spacing w:val="1"/>
        </w:rPr>
        <w:t xml:space="preserve"> d</w:t>
      </w:r>
      <w:r w:rsidRPr="007223FB">
        <w:rPr>
          <w:rFonts w:eastAsia="Candara" w:cs="Candara"/>
        </w:rPr>
        <w:t>e</w:t>
      </w:r>
      <w:r w:rsidRPr="007223FB">
        <w:rPr>
          <w:rFonts w:eastAsia="Candara" w:cs="Candara"/>
          <w:spacing w:val="1"/>
        </w:rPr>
        <w:t>s</w:t>
      </w:r>
      <w:r w:rsidRPr="007223FB">
        <w:rPr>
          <w:rFonts w:eastAsia="Candara" w:cs="Candara"/>
        </w:rPr>
        <w:t>empe</w:t>
      </w:r>
      <w:r w:rsidRPr="007223FB">
        <w:rPr>
          <w:rFonts w:eastAsia="Candara" w:cs="Candara"/>
          <w:spacing w:val="1"/>
        </w:rPr>
        <w:t>ñ</w:t>
      </w:r>
      <w:r w:rsidRPr="007223FB">
        <w:rPr>
          <w:rFonts w:eastAsia="Candara" w:cs="Candara"/>
        </w:rPr>
        <w:t xml:space="preserve">o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la</w:t>
      </w:r>
      <w:r w:rsidRPr="007223FB">
        <w:rPr>
          <w:rFonts w:eastAsia="Candara" w:cs="Candara"/>
          <w:spacing w:val="3"/>
        </w:rPr>
        <w:t xml:space="preserve"> </w:t>
      </w:r>
      <w:r w:rsidRPr="007223FB">
        <w:rPr>
          <w:rFonts w:eastAsia="Candara" w:cs="Candara"/>
        </w:rPr>
        <w:t>i</w:t>
      </w:r>
      <w:r w:rsidRPr="007223FB">
        <w:rPr>
          <w:rFonts w:eastAsia="Candara" w:cs="Candara"/>
          <w:spacing w:val="-2"/>
        </w:rPr>
        <w:t>n</w:t>
      </w:r>
      <w:r w:rsidRPr="007223FB">
        <w:rPr>
          <w:rFonts w:eastAsia="Candara" w:cs="Candara"/>
          <w:spacing w:val="1"/>
        </w:rPr>
        <w:t>s</w:t>
      </w:r>
      <w:r w:rsidRPr="007223FB">
        <w:rPr>
          <w:rFonts w:eastAsia="Candara" w:cs="Candara"/>
        </w:rPr>
        <w:t>tit</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rPr>
        <w:t>ali</w:t>
      </w:r>
      <w:r w:rsidRPr="007223FB">
        <w:rPr>
          <w:rFonts w:eastAsia="Candara" w:cs="Candara"/>
          <w:spacing w:val="1"/>
        </w:rPr>
        <w:t>d</w:t>
      </w:r>
      <w:r w:rsidRPr="007223FB">
        <w:rPr>
          <w:rFonts w:eastAsia="Candara" w:cs="Candara"/>
        </w:rPr>
        <w:t>ad</w:t>
      </w:r>
      <w:r w:rsidRPr="007223FB">
        <w:rPr>
          <w:rFonts w:eastAsia="Candara" w:cs="Candara"/>
          <w:spacing w:val="3"/>
        </w:rPr>
        <w:t xml:space="preserve"> </w:t>
      </w:r>
      <w:r w:rsidRPr="007223FB">
        <w:rPr>
          <w:rFonts w:eastAsia="Candara" w:cs="Candara"/>
        </w:rPr>
        <w:t>públ</w:t>
      </w:r>
      <w:r w:rsidRPr="007223FB">
        <w:rPr>
          <w:rFonts w:eastAsia="Candara" w:cs="Candara"/>
          <w:spacing w:val="-2"/>
        </w:rPr>
        <w:t>i</w:t>
      </w:r>
      <w:r w:rsidRPr="007223FB">
        <w:rPr>
          <w:rFonts w:eastAsia="Candara" w:cs="Candara"/>
          <w:spacing w:val="1"/>
        </w:rPr>
        <w:t>c</w:t>
      </w:r>
      <w:r w:rsidRPr="007223FB">
        <w:rPr>
          <w:rFonts w:eastAsia="Candara" w:cs="Candara"/>
        </w:rPr>
        <w:t>a</w:t>
      </w:r>
      <w:r w:rsidRPr="007223FB">
        <w:rPr>
          <w:rFonts w:eastAsia="Candara" w:cs="Candara"/>
          <w:spacing w:val="1"/>
        </w:rPr>
        <w:t xml:space="preserve"> r</w:t>
      </w:r>
      <w:r w:rsidRPr="007223FB">
        <w:rPr>
          <w:rFonts w:eastAsia="Candara" w:cs="Candara"/>
        </w:rPr>
        <w:t>e</w:t>
      </w:r>
      <w:r w:rsidRPr="007223FB">
        <w:rPr>
          <w:rFonts w:eastAsia="Candara" w:cs="Candara"/>
          <w:spacing w:val="1"/>
        </w:rPr>
        <w:t>s</w:t>
      </w:r>
      <w:r w:rsidRPr="007223FB">
        <w:rPr>
          <w:rFonts w:eastAsia="Candara" w:cs="Candara"/>
        </w:rPr>
        <w:t>p</w:t>
      </w:r>
      <w:r w:rsidRPr="007223FB">
        <w:rPr>
          <w:rFonts w:eastAsia="Candara" w:cs="Candara"/>
          <w:spacing w:val="-3"/>
        </w:rPr>
        <w:t>e</w:t>
      </w:r>
      <w:r w:rsidRPr="007223FB">
        <w:rPr>
          <w:rFonts w:eastAsia="Candara" w:cs="Candara"/>
          <w:spacing w:val="1"/>
        </w:rPr>
        <w:t>c</w:t>
      </w:r>
      <w:r w:rsidRPr="007223FB">
        <w:rPr>
          <w:rFonts w:eastAsia="Candara" w:cs="Candara"/>
          <w:spacing w:val="-2"/>
        </w:rPr>
        <w:t>t</w:t>
      </w:r>
      <w:r w:rsidRPr="007223FB">
        <w:rPr>
          <w:rFonts w:eastAsia="Candara" w:cs="Candara"/>
        </w:rPr>
        <w:t>o</w:t>
      </w:r>
      <w:r w:rsidRPr="007223FB">
        <w:rPr>
          <w:rFonts w:eastAsia="Candara" w:cs="Candara"/>
          <w:spacing w:val="3"/>
        </w:rPr>
        <w:t xml:space="preserve">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4"/>
        </w:rPr>
        <w:t xml:space="preserve"> </w:t>
      </w:r>
      <w:r w:rsidRPr="007223FB">
        <w:rPr>
          <w:rFonts w:eastAsia="Candara" w:cs="Candara"/>
        </w:rPr>
        <w:t>ava</w:t>
      </w:r>
      <w:r w:rsidRPr="007223FB">
        <w:rPr>
          <w:rFonts w:eastAsia="Candara" w:cs="Candara"/>
          <w:spacing w:val="-2"/>
        </w:rPr>
        <w:t>n</w:t>
      </w:r>
      <w:r w:rsidRPr="007223FB">
        <w:rPr>
          <w:rFonts w:eastAsia="Candara" w:cs="Candara"/>
          <w:spacing w:val="1"/>
        </w:rPr>
        <w:t>c</w:t>
      </w:r>
      <w:r w:rsidRPr="007223FB">
        <w:rPr>
          <w:rFonts w:eastAsia="Candara" w:cs="Candara"/>
          <w:spacing w:val="-3"/>
        </w:rPr>
        <w:t>e</w:t>
      </w:r>
      <w:r w:rsidRPr="007223FB">
        <w:rPr>
          <w:rFonts w:eastAsia="Candara" w:cs="Candara"/>
        </w:rPr>
        <w:t xml:space="preserve">s </w:t>
      </w:r>
      <w:r w:rsidRPr="007223FB">
        <w:rPr>
          <w:rFonts w:eastAsia="Candara" w:cs="Candara"/>
          <w:spacing w:val="-1"/>
        </w:rPr>
        <w:t>o</w:t>
      </w:r>
      <w:r w:rsidRPr="007223FB">
        <w:rPr>
          <w:rFonts w:eastAsia="Candara" w:cs="Candara"/>
        </w:rPr>
        <w:t>b</w:t>
      </w:r>
      <w:r w:rsidRPr="007223FB">
        <w:rPr>
          <w:rFonts w:eastAsia="Candara" w:cs="Candara"/>
          <w:spacing w:val="1"/>
        </w:rPr>
        <w:t>s</w:t>
      </w:r>
      <w:r w:rsidRPr="007223FB">
        <w:rPr>
          <w:rFonts w:eastAsia="Candara" w:cs="Candara"/>
        </w:rPr>
        <w:t>e</w:t>
      </w:r>
      <w:r w:rsidRPr="007223FB">
        <w:rPr>
          <w:rFonts w:eastAsia="Candara" w:cs="Candara"/>
          <w:spacing w:val="1"/>
        </w:rPr>
        <w:t>r</w:t>
      </w:r>
      <w:r w:rsidRPr="007223FB">
        <w:rPr>
          <w:rFonts w:eastAsia="Candara" w:cs="Candara"/>
        </w:rPr>
        <w:t>va</w:t>
      </w:r>
      <w:r w:rsidRPr="007223FB">
        <w:rPr>
          <w:rFonts w:eastAsia="Candara" w:cs="Candara"/>
          <w:spacing w:val="1"/>
        </w:rPr>
        <w:t>d</w:t>
      </w:r>
      <w:r w:rsidRPr="007223FB">
        <w:rPr>
          <w:rFonts w:eastAsia="Candara" w:cs="Candara"/>
          <w:spacing w:val="-3"/>
        </w:rPr>
        <w:t>o</w:t>
      </w:r>
      <w:r w:rsidRPr="007223FB">
        <w:rPr>
          <w:rFonts w:eastAsia="Candara" w:cs="Candara"/>
        </w:rPr>
        <w:t>s</w:t>
      </w:r>
      <w:r w:rsidRPr="007223FB">
        <w:rPr>
          <w:rFonts w:eastAsia="Candara" w:cs="Candara"/>
          <w:spacing w:val="5"/>
        </w:rPr>
        <w:t xml:space="preserve"> </w:t>
      </w:r>
      <w:r w:rsidRPr="007223FB">
        <w:rPr>
          <w:rFonts w:eastAsia="Candara" w:cs="Candara"/>
          <w:spacing w:val="-3"/>
        </w:rPr>
        <w:t>e</w:t>
      </w:r>
      <w:r w:rsidRPr="007223FB">
        <w:rPr>
          <w:rFonts w:eastAsia="Candara" w:cs="Candara"/>
        </w:rPr>
        <w:t>n</w:t>
      </w:r>
      <w:r w:rsidRPr="007223FB">
        <w:rPr>
          <w:rFonts w:eastAsia="Candara" w:cs="Candara"/>
          <w:spacing w:val="4"/>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5"/>
        </w:rPr>
        <w:t xml:space="preserve"> </w:t>
      </w:r>
      <w:r w:rsidRPr="007223FB">
        <w:rPr>
          <w:rFonts w:eastAsia="Candara" w:cs="Candara"/>
        </w:rPr>
        <w:t>y</w:t>
      </w:r>
      <w:r w:rsidRPr="007223FB">
        <w:rPr>
          <w:rFonts w:eastAsia="Candara" w:cs="Candara"/>
          <w:spacing w:val="2"/>
        </w:rPr>
        <w:t xml:space="preserve"> </w:t>
      </w:r>
      <w:r w:rsidRPr="007223FB">
        <w:rPr>
          <w:rFonts w:eastAsia="Candara" w:cs="Candara"/>
          <w:spacing w:val="1"/>
        </w:rPr>
        <w:t>s</w:t>
      </w:r>
      <w:r w:rsidRPr="007223FB">
        <w:rPr>
          <w:rFonts w:eastAsia="Candara" w:cs="Candara"/>
        </w:rPr>
        <w:t>ub</w:t>
      </w:r>
      <w:r w:rsidRPr="007223FB">
        <w:rPr>
          <w:rFonts w:eastAsia="Candara" w:cs="Candara"/>
          <w:spacing w:val="-2"/>
        </w:rPr>
        <w:t>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spacing w:val="-3"/>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5"/>
        </w:rPr>
        <w:t xml:space="preserve"> </w:t>
      </w:r>
      <w:r w:rsidRPr="007223FB">
        <w:rPr>
          <w:rFonts w:eastAsia="Candara" w:cs="Candara"/>
          <w:spacing w:val="-3"/>
        </w:rPr>
        <w:t>e</w:t>
      </w:r>
      <w:r w:rsidRPr="007223FB">
        <w:rPr>
          <w:rFonts w:eastAsia="Candara" w:cs="Candara"/>
          <w:spacing w:val="1"/>
        </w:rPr>
        <w:t>n</w:t>
      </w:r>
      <w:r w:rsidRPr="007223FB">
        <w:rPr>
          <w:rFonts w:eastAsia="Candara" w:cs="Candara"/>
        </w:rPr>
        <w:t>t</w:t>
      </w:r>
      <w:r w:rsidRPr="007223FB">
        <w:rPr>
          <w:rFonts w:eastAsia="Candara" w:cs="Candara"/>
          <w:spacing w:val="1"/>
        </w:rPr>
        <w:t>r</w:t>
      </w:r>
      <w:r w:rsidRPr="007223FB">
        <w:rPr>
          <w:rFonts w:eastAsia="Candara" w:cs="Candara"/>
          <w:spacing w:val="-3"/>
        </w:rPr>
        <w:t>e</w:t>
      </w:r>
      <w:r w:rsidRPr="007223FB">
        <w:rPr>
          <w:rFonts w:eastAsia="Candara" w:cs="Candara"/>
          <w:spacing w:val="1"/>
        </w:rPr>
        <w:t>g</w:t>
      </w:r>
      <w:r w:rsidRPr="007223FB">
        <w:rPr>
          <w:rFonts w:eastAsia="Candara" w:cs="Candara"/>
        </w:rPr>
        <w:t>ad</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a</w:t>
      </w:r>
      <w:r w:rsidRPr="007223FB">
        <w:rPr>
          <w:rFonts w:eastAsia="Candara" w:cs="Candara"/>
          <w:spacing w:val="3"/>
        </w:rPr>
        <w:t xml:space="preserve"> </w:t>
      </w:r>
      <w:r w:rsidRPr="007223FB">
        <w:rPr>
          <w:rFonts w:eastAsia="Candara" w:cs="Candara"/>
        </w:rPr>
        <w:t>la</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bla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2"/>
        </w:rPr>
        <w:t xml:space="preserve"> </w:t>
      </w:r>
      <w:r w:rsidRPr="007223FB">
        <w:rPr>
          <w:rFonts w:eastAsia="Candara" w:cs="Candara"/>
          <w:spacing w:val="1"/>
        </w:rPr>
        <w:t>s</w:t>
      </w:r>
      <w:r w:rsidRPr="007223FB">
        <w:rPr>
          <w:rFonts w:eastAsia="Candara" w:cs="Candara"/>
          <w:spacing w:val="-3"/>
        </w:rPr>
        <w:t>e</w:t>
      </w:r>
      <w:r w:rsidRPr="007223FB">
        <w:rPr>
          <w:rFonts w:eastAsia="Candara" w:cs="Candara"/>
          <w:spacing w:val="1"/>
        </w:rPr>
        <w:t>g</w:t>
      </w:r>
      <w:r w:rsidRPr="007223FB">
        <w:rPr>
          <w:rFonts w:eastAsia="Candara" w:cs="Candara"/>
          <w:spacing w:val="-3"/>
        </w:rPr>
        <w:t>ú</w:t>
      </w:r>
      <w:r w:rsidRPr="007223FB">
        <w:rPr>
          <w:rFonts w:eastAsia="Candara" w:cs="Candara"/>
        </w:rPr>
        <w:t>n</w:t>
      </w:r>
      <w:r w:rsidRPr="007223FB">
        <w:rPr>
          <w:rFonts w:eastAsia="Candara" w:cs="Candara"/>
          <w:spacing w:val="4"/>
        </w:rPr>
        <w:t xml:space="preserve"> </w:t>
      </w:r>
      <w:r w:rsidRPr="007223FB">
        <w:rPr>
          <w:rFonts w:eastAsia="Candara" w:cs="Candara"/>
        </w:rPr>
        <w:t>las</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rPr>
        <w:t>i</w:t>
      </w:r>
      <w:r w:rsidRPr="007223FB">
        <w:rPr>
          <w:rFonts w:eastAsia="Candara" w:cs="Candara"/>
          <w:spacing w:val="-3"/>
        </w:rPr>
        <w:t>o</w:t>
      </w:r>
      <w:r w:rsidRPr="007223FB">
        <w:rPr>
          <w:rFonts w:eastAsia="Candara" w:cs="Candara"/>
          <w:spacing w:val="1"/>
        </w:rPr>
        <w:t>r</w:t>
      </w:r>
      <w:r w:rsidRPr="007223FB">
        <w:rPr>
          <w:rFonts w:eastAsia="Candara" w:cs="Candara"/>
        </w:rPr>
        <w:t>i</w:t>
      </w:r>
      <w:r w:rsidRPr="007223FB">
        <w:rPr>
          <w:rFonts w:eastAsia="Candara" w:cs="Candara"/>
          <w:spacing w:val="1"/>
        </w:rPr>
        <w:t>d</w:t>
      </w:r>
      <w:r w:rsidRPr="007223FB">
        <w:rPr>
          <w:rFonts w:eastAsia="Candara" w:cs="Candara"/>
          <w:spacing w:val="-2"/>
        </w:rPr>
        <w:t>a</w:t>
      </w:r>
      <w:r w:rsidRPr="007223FB">
        <w:rPr>
          <w:rFonts w:eastAsia="Candara" w:cs="Candara"/>
          <w:spacing w:val="1"/>
        </w:rPr>
        <w:t>d</w:t>
      </w:r>
      <w:r w:rsidRPr="007223FB">
        <w:rPr>
          <w:rFonts w:eastAsia="Candara" w:cs="Candara"/>
        </w:rPr>
        <w:t>es y las</w:t>
      </w:r>
      <w:r w:rsidRPr="007223FB">
        <w:rPr>
          <w:rFonts w:eastAsia="Candara" w:cs="Candara"/>
          <w:spacing w:val="2"/>
        </w:rPr>
        <w:t xml:space="preserve"> </w:t>
      </w:r>
      <w:r w:rsidRPr="007223FB">
        <w:rPr>
          <w:rFonts w:eastAsia="Candara" w:cs="Candara"/>
        </w:rPr>
        <w:t>metas</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rPr>
        <w:t>tabl</w:t>
      </w:r>
      <w:r w:rsidRPr="007223FB">
        <w:rPr>
          <w:rFonts w:eastAsia="Candara" w:cs="Candara"/>
          <w:spacing w:val="-3"/>
        </w:rPr>
        <w:t>e</w:t>
      </w:r>
      <w:r w:rsidRPr="007223FB">
        <w:rPr>
          <w:rFonts w:eastAsia="Candara" w:cs="Candara"/>
          <w:spacing w:val="1"/>
        </w:rPr>
        <w:t>c</w:t>
      </w:r>
      <w:r w:rsidRPr="007223FB">
        <w:rPr>
          <w:rFonts w:eastAsia="Candara" w:cs="Candara"/>
        </w:rPr>
        <w:t>i</w:t>
      </w:r>
      <w:r w:rsidRPr="007223FB">
        <w:rPr>
          <w:rFonts w:eastAsia="Candara" w:cs="Candara"/>
          <w:spacing w:val="1"/>
        </w:rPr>
        <w:t>d</w:t>
      </w:r>
      <w:r w:rsidRPr="007223FB">
        <w:rPr>
          <w:rFonts w:eastAsia="Candara" w:cs="Candara"/>
          <w:spacing w:val="-2"/>
        </w:rPr>
        <w:t>a</w:t>
      </w:r>
      <w:r w:rsidRPr="007223FB">
        <w:rPr>
          <w:rFonts w:eastAsia="Candara" w:cs="Candara"/>
          <w:spacing w:val="1"/>
        </w:rPr>
        <w:t>s</w:t>
      </w:r>
      <w:r w:rsidRPr="007223FB">
        <w:rPr>
          <w:rFonts w:eastAsia="Candara" w:cs="Candara"/>
        </w:rPr>
        <w:t>, en</w:t>
      </w:r>
      <w:r w:rsidRPr="007223FB">
        <w:rPr>
          <w:rFonts w:eastAsia="Candara" w:cs="Candara"/>
          <w:spacing w:val="1"/>
        </w:rPr>
        <w:t xml:space="preserve"> </w:t>
      </w:r>
      <w:r w:rsidRPr="007223FB">
        <w:rPr>
          <w:rFonts w:eastAsia="Candara" w:cs="Candara"/>
        </w:rPr>
        <w:t xml:space="preserve">el </w:t>
      </w:r>
      <w:r w:rsidRPr="007223FB">
        <w:rPr>
          <w:rFonts w:eastAsia="Candara" w:cs="Candara"/>
          <w:spacing w:val="1"/>
        </w:rPr>
        <w:t>P</w:t>
      </w:r>
      <w:r w:rsidRPr="007223FB">
        <w:rPr>
          <w:rFonts w:eastAsia="Candara" w:cs="Candara"/>
        </w:rPr>
        <w:t>lan</w:t>
      </w:r>
      <w:r w:rsidRPr="007223FB">
        <w:rPr>
          <w:rFonts w:eastAsia="Candara" w:cs="Candara"/>
          <w:spacing w:val="1"/>
        </w:rPr>
        <w:t xml:space="preserve"> O</w:t>
      </w:r>
      <w:r w:rsidRPr="007223FB">
        <w:rPr>
          <w:rFonts w:eastAsia="Candara" w:cs="Candara"/>
        </w:rPr>
        <w:t>pe</w:t>
      </w:r>
      <w:r w:rsidRPr="007223FB">
        <w:rPr>
          <w:rFonts w:eastAsia="Candara" w:cs="Candara"/>
          <w:spacing w:val="1"/>
        </w:rPr>
        <w:t>r</w:t>
      </w:r>
      <w:r w:rsidRPr="007223FB">
        <w:rPr>
          <w:rFonts w:eastAsia="Candara" w:cs="Candara"/>
        </w:rPr>
        <w:t xml:space="preserve">ativo </w:t>
      </w:r>
      <w:r w:rsidRPr="007223FB">
        <w:rPr>
          <w:rFonts w:eastAsia="Candara" w:cs="Candara"/>
          <w:spacing w:val="1"/>
        </w:rPr>
        <w:t>An</w:t>
      </w:r>
      <w:r w:rsidRPr="007223FB">
        <w:rPr>
          <w:rFonts w:eastAsia="Candara" w:cs="Candara"/>
        </w:rPr>
        <w:t>ua</w:t>
      </w:r>
      <w:r w:rsidRPr="007223FB">
        <w:rPr>
          <w:rFonts w:eastAsia="Candara" w:cs="Candara"/>
          <w:spacing w:val="-2"/>
        </w:rPr>
        <w:t>l</w:t>
      </w:r>
      <w:r w:rsidRPr="007223FB">
        <w:rPr>
          <w:rFonts w:eastAsia="Candara" w:cs="Candara"/>
        </w:rPr>
        <w:t xml:space="preserve">, </w:t>
      </w:r>
      <w:r w:rsidRPr="007223FB">
        <w:rPr>
          <w:rFonts w:eastAsia="Candara" w:cs="Candara"/>
          <w:spacing w:val="-1"/>
        </w:rPr>
        <w:t>a</w:t>
      </w:r>
      <w:r w:rsidRPr="007223FB">
        <w:rPr>
          <w:rFonts w:eastAsia="Candara" w:cs="Candara"/>
          <w:spacing w:val="1"/>
        </w:rPr>
        <w:t>s</w:t>
      </w:r>
      <w:r w:rsidRPr="007223FB">
        <w:rPr>
          <w:rFonts w:eastAsia="Candara" w:cs="Candara"/>
        </w:rPr>
        <w:t xml:space="preserve">í </w:t>
      </w:r>
      <w:r w:rsidRPr="007223FB">
        <w:rPr>
          <w:rFonts w:eastAsia="Candara" w:cs="Candara"/>
          <w:spacing w:val="1"/>
        </w:rPr>
        <w:t>c</w:t>
      </w:r>
      <w:r w:rsidRPr="007223FB">
        <w:rPr>
          <w:rFonts w:eastAsia="Candara" w:cs="Candara"/>
          <w:spacing w:val="-1"/>
        </w:rPr>
        <w:t>o</w:t>
      </w:r>
      <w:r w:rsidRPr="007223FB">
        <w:rPr>
          <w:rFonts w:eastAsia="Candara" w:cs="Candara"/>
        </w:rPr>
        <w:t xml:space="preserve">mo el </w:t>
      </w:r>
      <w:r w:rsidRPr="007223FB">
        <w:rPr>
          <w:rFonts w:eastAsia="Candara" w:cs="Candara"/>
          <w:spacing w:val="1"/>
        </w:rPr>
        <w:t>n</w:t>
      </w:r>
      <w:r w:rsidRPr="007223FB">
        <w:rPr>
          <w:rFonts w:eastAsia="Candara" w:cs="Candara"/>
        </w:rPr>
        <w:t xml:space="preserve">ivel </w:t>
      </w:r>
      <w:r w:rsidRPr="007223FB">
        <w:rPr>
          <w:rFonts w:eastAsia="Candara" w:cs="Candara"/>
          <w:spacing w:val="1"/>
        </w:rPr>
        <w:t>d</w:t>
      </w:r>
      <w:r w:rsidRPr="007223FB">
        <w:rPr>
          <w:rFonts w:eastAsia="Candara" w:cs="Candara"/>
        </w:rPr>
        <w:t>e ej</w:t>
      </w:r>
      <w:r w:rsidRPr="007223FB">
        <w:rPr>
          <w:rFonts w:eastAsia="Candara" w:cs="Candara"/>
          <w:spacing w:val="2"/>
        </w:rPr>
        <w:t>e</w:t>
      </w:r>
      <w:r w:rsidRPr="007223FB">
        <w:rPr>
          <w:rFonts w:eastAsia="Candara" w:cs="Candara"/>
          <w:spacing w:val="1"/>
        </w:rPr>
        <w:t>c</w:t>
      </w:r>
      <w:r w:rsidRPr="007223FB">
        <w:rPr>
          <w:rFonts w:eastAsia="Candara" w:cs="Candara"/>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fi</w:t>
      </w:r>
      <w:r w:rsidRPr="007223FB">
        <w:rPr>
          <w:rFonts w:eastAsia="Candara" w:cs="Candara"/>
          <w:spacing w:val="1"/>
        </w:rPr>
        <w:t>n</w:t>
      </w:r>
      <w:r w:rsidRPr="007223FB">
        <w:rPr>
          <w:rFonts w:eastAsia="Candara" w:cs="Candara"/>
          <w:spacing w:val="-2"/>
        </w:rPr>
        <w:t>a</w:t>
      </w:r>
      <w:r w:rsidRPr="007223FB">
        <w:rPr>
          <w:rFonts w:eastAsia="Candara" w:cs="Candara"/>
          <w:spacing w:val="1"/>
        </w:rPr>
        <w:t>nc</w:t>
      </w:r>
      <w:r w:rsidRPr="007223FB">
        <w:rPr>
          <w:rFonts w:eastAsia="Candara" w:cs="Candara"/>
        </w:rPr>
        <w:t>i</w:t>
      </w:r>
      <w:r w:rsidRPr="007223FB">
        <w:rPr>
          <w:rFonts w:eastAsia="Candara" w:cs="Candara"/>
          <w:spacing w:val="-3"/>
        </w:rPr>
        <w:t>e</w:t>
      </w:r>
      <w:r w:rsidRPr="007223FB">
        <w:rPr>
          <w:rFonts w:eastAsia="Candara" w:cs="Candara"/>
          <w:spacing w:val="-1"/>
        </w:rPr>
        <w:t>r</w:t>
      </w:r>
      <w:r w:rsidRPr="007223FB">
        <w:rPr>
          <w:rFonts w:eastAsia="Candara" w:cs="Candara"/>
        </w:rPr>
        <w:t xml:space="preserve">o </w:t>
      </w:r>
      <w:r w:rsidRPr="007223FB">
        <w:rPr>
          <w:rFonts w:eastAsia="Candara" w:cs="Candara"/>
          <w:spacing w:val="-1"/>
        </w:rPr>
        <w:t>o</w:t>
      </w:r>
      <w:r w:rsidRPr="007223FB">
        <w:rPr>
          <w:rFonts w:eastAsia="Candara" w:cs="Candara"/>
        </w:rPr>
        <w:t>b</w:t>
      </w:r>
      <w:r w:rsidRPr="007223FB">
        <w:rPr>
          <w:rFonts w:eastAsia="Candara" w:cs="Candara"/>
          <w:spacing w:val="1"/>
        </w:rPr>
        <w:t>s</w:t>
      </w:r>
      <w:r w:rsidRPr="007223FB">
        <w:rPr>
          <w:rFonts w:eastAsia="Candara" w:cs="Candara"/>
        </w:rPr>
        <w:t>e</w:t>
      </w:r>
      <w:r w:rsidRPr="007223FB">
        <w:rPr>
          <w:rFonts w:eastAsia="Candara" w:cs="Candara"/>
          <w:spacing w:val="1"/>
        </w:rPr>
        <w:t>r</w:t>
      </w:r>
      <w:r w:rsidRPr="007223FB">
        <w:rPr>
          <w:rFonts w:eastAsia="Candara" w:cs="Candara"/>
        </w:rPr>
        <w:t>va</w:t>
      </w:r>
      <w:r w:rsidRPr="007223FB">
        <w:rPr>
          <w:rFonts w:eastAsia="Candara" w:cs="Candara"/>
          <w:spacing w:val="1"/>
        </w:rPr>
        <w:t>d</w:t>
      </w:r>
      <w:r w:rsidRPr="007223FB">
        <w:rPr>
          <w:rFonts w:eastAsia="Candara" w:cs="Candara"/>
          <w:spacing w:val="-1"/>
        </w:rPr>
        <w:t>o</w:t>
      </w:r>
      <w:r w:rsidRPr="007223FB">
        <w:rPr>
          <w:rFonts w:eastAsia="Candara" w:cs="Candara"/>
        </w:rPr>
        <w:t>.</w:t>
      </w:r>
    </w:p>
    <w:p w:rsidR="007D0929" w:rsidRPr="007223FB" w:rsidRDefault="007D0929" w:rsidP="006C13F5">
      <w:pPr>
        <w:spacing w:before="120" w:after="120" w:line="240" w:lineRule="auto"/>
        <w:ind w:right="58"/>
        <w:rPr>
          <w:rFonts w:eastAsia="Candara" w:cs="Candara"/>
        </w:rPr>
      </w:pPr>
      <w:r w:rsidRPr="007223FB">
        <w:rPr>
          <w:rFonts w:eastAsia="Candara" w:cs="Candara"/>
          <w:spacing w:val="1"/>
        </w:rPr>
        <w:t>E</w:t>
      </w:r>
      <w:r w:rsidRPr="007223FB">
        <w:rPr>
          <w:rFonts w:eastAsia="Candara" w:cs="Candara"/>
        </w:rPr>
        <w:t>n</w:t>
      </w:r>
      <w:r w:rsidRPr="007223FB">
        <w:rPr>
          <w:rFonts w:eastAsia="Candara" w:cs="Candara"/>
          <w:spacing w:val="1"/>
        </w:rPr>
        <w:t xml:space="preserve"> </w:t>
      </w:r>
      <w:r w:rsidRPr="007223FB">
        <w:rPr>
          <w:rFonts w:eastAsia="Candara" w:cs="Candara"/>
        </w:rPr>
        <w:t>el ma</w:t>
      </w:r>
      <w:r w:rsidRPr="007223FB">
        <w:rPr>
          <w:rFonts w:eastAsia="Candara" w:cs="Candara"/>
          <w:spacing w:val="-1"/>
        </w:rPr>
        <w:t>r</w:t>
      </w:r>
      <w:r w:rsidRPr="007223FB">
        <w:rPr>
          <w:rFonts w:eastAsia="Candara" w:cs="Candara"/>
          <w:spacing w:val="1"/>
        </w:rPr>
        <w:t>c</w:t>
      </w:r>
      <w:r w:rsidRPr="007223FB">
        <w:rPr>
          <w:rFonts w:eastAsia="Candara" w:cs="Candara"/>
        </w:rPr>
        <w:t xml:space="preserve">o </w:t>
      </w:r>
      <w:r w:rsidRPr="007223FB">
        <w:rPr>
          <w:rFonts w:eastAsia="Candara" w:cs="Candara"/>
          <w:spacing w:val="1"/>
        </w:rPr>
        <w:t>d</w:t>
      </w:r>
      <w:r w:rsidRPr="007223FB">
        <w:rPr>
          <w:rFonts w:eastAsia="Candara" w:cs="Candara"/>
        </w:rPr>
        <w:t>e la</w:t>
      </w:r>
      <w:r w:rsidRPr="007223FB">
        <w:rPr>
          <w:rFonts w:eastAsia="Candara" w:cs="Candara"/>
          <w:spacing w:val="-2"/>
        </w:rPr>
        <w:t xml:space="preserve"> </w:t>
      </w:r>
      <w:r w:rsidRPr="007223FB">
        <w:rPr>
          <w:rFonts w:eastAsia="Candara" w:cs="Candara"/>
          <w:spacing w:val="1"/>
        </w:rPr>
        <w:t>P</w:t>
      </w:r>
      <w:r w:rsidRPr="007223FB">
        <w:rPr>
          <w:rFonts w:eastAsia="Candara" w:cs="Candara"/>
          <w:spacing w:val="-1"/>
        </w:rPr>
        <w:t>o</w:t>
      </w:r>
      <w:r w:rsidRPr="007223FB">
        <w:rPr>
          <w:rFonts w:eastAsia="Candara" w:cs="Candara"/>
        </w:rPr>
        <w:t>líti</w:t>
      </w:r>
      <w:r w:rsidRPr="007223FB">
        <w:rPr>
          <w:rFonts w:eastAsia="Candara" w:cs="Candara"/>
          <w:spacing w:val="1"/>
        </w:rPr>
        <w:t>c</w:t>
      </w:r>
      <w:r w:rsidRPr="007223FB">
        <w:rPr>
          <w:rFonts w:eastAsia="Candara" w:cs="Candara"/>
        </w:rPr>
        <w:t>a</w:t>
      </w:r>
      <w:r w:rsidRPr="007223FB">
        <w:rPr>
          <w:rFonts w:eastAsia="Candara" w:cs="Candara"/>
          <w:spacing w:val="-2"/>
        </w:rPr>
        <w:t xml:space="preserve"> </w:t>
      </w:r>
      <w:r w:rsidRPr="007223FB">
        <w:rPr>
          <w:rFonts w:eastAsia="Candara" w:cs="Candara"/>
        </w:rPr>
        <w:t>Ge</w:t>
      </w:r>
      <w:r w:rsidRPr="007223FB">
        <w:rPr>
          <w:rFonts w:eastAsia="Candara" w:cs="Candara"/>
          <w:spacing w:val="1"/>
        </w:rPr>
        <w:t>n</w:t>
      </w:r>
      <w:r w:rsidRPr="007223FB">
        <w:rPr>
          <w:rFonts w:eastAsia="Candara" w:cs="Candara"/>
        </w:rPr>
        <w:t>e</w:t>
      </w:r>
      <w:r w:rsidRPr="007223FB">
        <w:rPr>
          <w:rFonts w:eastAsia="Candara" w:cs="Candara"/>
          <w:spacing w:val="1"/>
        </w:rPr>
        <w:t>r</w:t>
      </w:r>
      <w:r w:rsidRPr="007223FB">
        <w:rPr>
          <w:rFonts w:eastAsia="Candara" w:cs="Candara"/>
        </w:rPr>
        <w:t>al</w:t>
      </w:r>
      <w:r w:rsidRPr="007223FB">
        <w:rPr>
          <w:rFonts w:eastAsia="Candara" w:cs="Candara"/>
          <w:spacing w:val="-2"/>
        </w:rPr>
        <w:t xml:space="preserve"> </w:t>
      </w:r>
      <w:r w:rsidRPr="007223FB">
        <w:rPr>
          <w:rFonts w:eastAsia="Candara" w:cs="Candara"/>
          <w:spacing w:val="1"/>
        </w:rPr>
        <w:t>d</w:t>
      </w:r>
      <w:r w:rsidRPr="007223FB">
        <w:rPr>
          <w:rFonts w:eastAsia="Candara" w:cs="Candara"/>
        </w:rPr>
        <w:t>e G</w:t>
      </w:r>
      <w:r w:rsidRPr="007223FB">
        <w:rPr>
          <w:rFonts w:eastAsia="Candara" w:cs="Candara"/>
          <w:spacing w:val="-1"/>
        </w:rPr>
        <w:t>o</w:t>
      </w:r>
      <w:r w:rsidRPr="007223FB">
        <w:rPr>
          <w:rFonts w:eastAsia="Candara" w:cs="Candara"/>
        </w:rPr>
        <w:t>bie</w:t>
      </w:r>
      <w:r w:rsidRPr="007223FB">
        <w:rPr>
          <w:rFonts w:eastAsia="Candara" w:cs="Candara"/>
          <w:spacing w:val="1"/>
        </w:rPr>
        <w:t>rn</w:t>
      </w:r>
      <w:r w:rsidRPr="007223FB">
        <w:rPr>
          <w:rFonts w:eastAsia="Candara" w:cs="Candara"/>
        </w:rPr>
        <w:t>o</w:t>
      </w:r>
      <w:r w:rsidRPr="007223FB">
        <w:rPr>
          <w:rFonts w:eastAsia="Candara" w:cs="Candara"/>
          <w:spacing w:val="-3"/>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ba</w:t>
      </w:r>
      <w:r w:rsidRPr="007223FB">
        <w:rPr>
          <w:rFonts w:eastAsia="Candara" w:cs="Candara"/>
          <w:spacing w:val="-2"/>
        </w:rPr>
        <w:t>j</w:t>
      </w:r>
      <w:r w:rsidRPr="007223FB">
        <w:rPr>
          <w:rFonts w:eastAsia="Candara" w:cs="Candara"/>
        </w:rPr>
        <w:t>o</w:t>
      </w:r>
      <w:r w:rsidRPr="007223FB">
        <w:rPr>
          <w:rFonts w:eastAsia="Candara" w:cs="Candara"/>
          <w:spacing w:val="-2"/>
        </w:rPr>
        <w:t xml:space="preserve"> </w:t>
      </w:r>
      <w:r w:rsidRPr="007223FB">
        <w:rPr>
          <w:rFonts w:eastAsia="Candara" w:cs="Candara"/>
        </w:rPr>
        <w:t>el e</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rPr>
        <w:t xml:space="preserve">que </w:t>
      </w:r>
      <w:r w:rsidRPr="007223FB">
        <w:rPr>
          <w:rFonts w:eastAsia="Candara" w:cs="Candara"/>
          <w:spacing w:val="1"/>
        </w:rPr>
        <w:t>d</w:t>
      </w:r>
      <w:r w:rsidRPr="007223FB">
        <w:rPr>
          <w:rFonts w:eastAsia="Candara" w:cs="Candara"/>
        </w:rPr>
        <w:t>e la Ge</w:t>
      </w:r>
      <w:r w:rsidRPr="007223FB">
        <w:rPr>
          <w:rFonts w:eastAsia="Candara" w:cs="Candara"/>
          <w:spacing w:val="1"/>
        </w:rPr>
        <w:t>s</w:t>
      </w:r>
      <w:r w:rsidRPr="007223FB">
        <w:rPr>
          <w:rFonts w:eastAsia="Candara" w:cs="Candara"/>
        </w:rPr>
        <w:t>ti</w:t>
      </w:r>
      <w:r w:rsidRPr="007223FB">
        <w:rPr>
          <w:rFonts w:eastAsia="Candara" w:cs="Candara"/>
          <w:spacing w:val="-3"/>
        </w:rPr>
        <w:t>ó</w:t>
      </w:r>
      <w:r w:rsidRPr="007223FB">
        <w:rPr>
          <w:rFonts w:eastAsia="Candara" w:cs="Candara"/>
        </w:rPr>
        <w:t>n</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1"/>
        </w:rPr>
        <w:t xml:space="preserve"> R</w:t>
      </w:r>
      <w:r w:rsidRPr="007223FB">
        <w:rPr>
          <w:rFonts w:eastAsia="Candara" w:cs="Candara"/>
          <w:spacing w:val="-3"/>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s</w:t>
      </w:r>
      <w:r w:rsidRPr="007223FB">
        <w:rPr>
          <w:rFonts w:eastAsia="Candara" w:cs="Candara"/>
        </w:rPr>
        <w:t>e</w:t>
      </w:r>
      <w:r w:rsidRPr="007223FB">
        <w:rPr>
          <w:rFonts w:eastAsia="Candara" w:cs="Candara"/>
          <w:spacing w:val="1"/>
        </w:rPr>
        <w:t xml:space="preserve"> d</w:t>
      </w:r>
      <w:r w:rsidRPr="007223FB">
        <w:rPr>
          <w:rFonts w:eastAsia="Candara" w:cs="Candara"/>
        </w:rPr>
        <w:t>efi</w:t>
      </w:r>
      <w:r w:rsidRPr="007223FB">
        <w:rPr>
          <w:rFonts w:eastAsia="Candara" w:cs="Candara"/>
          <w:spacing w:val="1"/>
        </w:rPr>
        <w:t>n</w:t>
      </w:r>
      <w:r w:rsidRPr="007223FB">
        <w:rPr>
          <w:rFonts w:eastAsia="Candara" w:cs="Candara"/>
          <w:spacing w:val="-2"/>
        </w:rPr>
        <w:t>en</w:t>
      </w:r>
      <w:r w:rsidRPr="007223FB">
        <w:rPr>
          <w:rFonts w:eastAsia="Candara" w:cs="Candara"/>
          <w:spacing w:val="2"/>
        </w:rPr>
        <w:t xml:space="preserve"> </w:t>
      </w:r>
      <w:r w:rsidRPr="007223FB">
        <w:rPr>
          <w:rFonts w:eastAsia="Candara" w:cs="Candara"/>
        </w:rPr>
        <w:t>14</w:t>
      </w:r>
      <w:r w:rsidRPr="007223FB">
        <w:rPr>
          <w:rFonts w:eastAsia="Candara" w:cs="Candara"/>
          <w:spacing w:val="1"/>
        </w:rPr>
        <w:t xml:space="preserve"> r</w:t>
      </w:r>
      <w:r w:rsidRPr="007223FB">
        <w:rPr>
          <w:rFonts w:eastAsia="Candara" w:cs="Candara"/>
        </w:rPr>
        <w:t>e</w:t>
      </w:r>
      <w:r w:rsidRPr="007223FB">
        <w:rPr>
          <w:rFonts w:eastAsia="Candara" w:cs="Candara"/>
          <w:spacing w:val="1"/>
        </w:rPr>
        <w:t>s</w:t>
      </w:r>
      <w:r w:rsidRPr="007223FB">
        <w:rPr>
          <w:rFonts w:eastAsia="Candara" w:cs="Candara"/>
        </w:rPr>
        <w:t>ult</w:t>
      </w:r>
      <w:r w:rsidRPr="007223FB">
        <w:rPr>
          <w:rFonts w:eastAsia="Candara" w:cs="Candara"/>
          <w:spacing w:val="-2"/>
        </w:rPr>
        <w:t>a</w:t>
      </w:r>
      <w:r w:rsidRPr="007223FB">
        <w:rPr>
          <w:rFonts w:eastAsia="Candara" w:cs="Candara"/>
          <w:spacing w:val="1"/>
        </w:rPr>
        <w:t>d</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até</w:t>
      </w:r>
      <w:r w:rsidRPr="007223FB">
        <w:rPr>
          <w:rFonts w:eastAsia="Candara" w:cs="Candara"/>
          <w:spacing w:val="1"/>
        </w:rPr>
        <w:t>g</w:t>
      </w:r>
      <w:r w:rsidRPr="007223FB">
        <w:rPr>
          <w:rFonts w:eastAsia="Candara" w:cs="Candara"/>
          <w:spacing w:val="-2"/>
        </w:rPr>
        <w:t>i</w:t>
      </w:r>
      <w:r w:rsidRPr="007223FB">
        <w:rPr>
          <w:rFonts w:eastAsia="Candara" w:cs="Candara"/>
          <w:spacing w:val="1"/>
        </w:rPr>
        <w:t>c</w:t>
      </w:r>
      <w:r w:rsidRPr="007223FB">
        <w:rPr>
          <w:rFonts w:eastAsia="Candara" w:cs="Candara"/>
          <w:spacing w:val="-1"/>
        </w:rPr>
        <w:t>o</w:t>
      </w:r>
      <w:r w:rsidRPr="007223FB">
        <w:rPr>
          <w:rFonts w:eastAsia="Candara" w:cs="Candara"/>
          <w:spacing w:val="1"/>
        </w:rPr>
        <w:t>s.</w:t>
      </w:r>
      <w:r w:rsidRPr="007223FB">
        <w:rPr>
          <w:rFonts w:eastAsia="Candara" w:cs="Candara"/>
        </w:rPr>
        <w:t xml:space="preserve">  </w:t>
      </w:r>
      <w:r w:rsidRPr="007223FB">
        <w:rPr>
          <w:rFonts w:eastAsia="Candara" w:cs="Candara"/>
          <w:spacing w:val="14"/>
        </w:rPr>
        <w:t xml:space="preserve"> </w:t>
      </w:r>
      <w:r w:rsidRPr="007223FB">
        <w:rPr>
          <w:rFonts w:eastAsia="Candara" w:cs="Candara"/>
          <w:spacing w:val="1"/>
        </w:rPr>
        <w:t>Es</w:t>
      </w:r>
      <w:r w:rsidRPr="007223FB">
        <w:rPr>
          <w:rFonts w:eastAsia="Candara" w:cs="Candara"/>
        </w:rPr>
        <w:t>t</w:t>
      </w:r>
      <w:r w:rsidRPr="007223FB">
        <w:rPr>
          <w:rFonts w:eastAsia="Candara" w:cs="Candara"/>
          <w:spacing w:val="-3"/>
        </w:rPr>
        <w:t>o</w:t>
      </w:r>
      <w:r w:rsidRPr="007223FB">
        <w:rPr>
          <w:rFonts w:eastAsia="Candara" w:cs="Candara"/>
        </w:rPr>
        <w:t>s</w:t>
      </w:r>
      <w:r w:rsidRPr="007223FB">
        <w:rPr>
          <w:rFonts w:eastAsia="Candara" w:cs="Candara"/>
          <w:spacing w:val="3"/>
        </w:rPr>
        <w:t xml:space="preserve"> </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3"/>
        </w:rPr>
        <w:t>o</w:t>
      </w:r>
      <w:r w:rsidRPr="007223FB">
        <w:rPr>
          <w:rFonts w:eastAsia="Candara" w:cs="Candara"/>
        </w:rPr>
        <w:t xml:space="preserve">s </w:t>
      </w:r>
      <w:r w:rsidRPr="007223FB">
        <w:rPr>
          <w:rFonts w:eastAsia="Candara" w:cs="Candara"/>
          <w:spacing w:val="1"/>
        </w:rPr>
        <w:t>s</w:t>
      </w:r>
      <w:r w:rsidRPr="007223FB">
        <w:rPr>
          <w:rFonts w:eastAsia="Candara" w:cs="Candara"/>
        </w:rPr>
        <w:t>e</w:t>
      </w:r>
      <w:r w:rsidRPr="007223FB">
        <w:rPr>
          <w:rFonts w:eastAsia="Candara" w:cs="Candara"/>
          <w:spacing w:val="1"/>
        </w:rPr>
        <w:t xml:space="preserve"> </w:t>
      </w:r>
      <w:r w:rsidRPr="007223FB">
        <w:rPr>
          <w:rFonts w:eastAsia="Candara" w:cs="Candara"/>
        </w:rPr>
        <w:t>p</w:t>
      </w:r>
      <w:r w:rsidRPr="007223FB">
        <w:rPr>
          <w:rFonts w:eastAsia="Candara" w:cs="Candara"/>
          <w:spacing w:val="-2"/>
        </w:rPr>
        <w:t>u</w:t>
      </w:r>
      <w:r w:rsidRPr="007223FB">
        <w:rPr>
          <w:rFonts w:eastAsia="Candara" w:cs="Candara"/>
        </w:rPr>
        <w:t>e</w:t>
      </w:r>
      <w:r w:rsidRPr="007223FB">
        <w:rPr>
          <w:rFonts w:eastAsia="Candara" w:cs="Candara"/>
          <w:spacing w:val="1"/>
        </w:rPr>
        <w:t>d</w:t>
      </w:r>
      <w:r w:rsidRPr="007223FB">
        <w:rPr>
          <w:rFonts w:eastAsia="Candara" w:cs="Candara"/>
        </w:rPr>
        <w:t>en</w:t>
      </w:r>
      <w:r w:rsidRPr="007223FB">
        <w:rPr>
          <w:rFonts w:eastAsia="Candara" w:cs="Candara"/>
          <w:spacing w:val="2"/>
        </w:rPr>
        <w:t xml:space="preserve"> </w:t>
      </w:r>
      <w:r w:rsidRPr="007223FB">
        <w:rPr>
          <w:rFonts w:eastAsia="Candara" w:cs="Candara"/>
        </w:rPr>
        <w:t>v</w:t>
      </w:r>
      <w:r w:rsidRPr="007223FB">
        <w:rPr>
          <w:rFonts w:eastAsia="Candara" w:cs="Candara"/>
          <w:spacing w:val="-2"/>
        </w:rPr>
        <w:t>i</w:t>
      </w:r>
      <w:r w:rsidRPr="007223FB">
        <w:rPr>
          <w:rFonts w:eastAsia="Candara" w:cs="Candara"/>
          <w:spacing w:val="1"/>
        </w:rPr>
        <w:t>s</w:t>
      </w:r>
      <w:r w:rsidRPr="007223FB">
        <w:rPr>
          <w:rFonts w:eastAsia="Candara" w:cs="Candara"/>
        </w:rPr>
        <w:t>uali</w:t>
      </w:r>
      <w:r w:rsidRPr="007223FB">
        <w:rPr>
          <w:rFonts w:eastAsia="Candara" w:cs="Candara"/>
          <w:spacing w:val="1"/>
        </w:rPr>
        <w:t>z</w:t>
      </w:r>
      <w:r w:rsidRPr="007223FB">
        <w:rPr>
          <w:rFonts w:eastAsia="Candara" w:cs="Candara"/>
          <w:spacing w:val="-2"/>
        </w:rPr>
        <w:t>a</w:t>
      </w:r>
      <w:r w:rsidRPr="007223FB">
        <w:rPr>
          <w:rFonts w:eastAsia="Candara" w:cs="Candara"/>
        </w:rPr>
        <w:t xml:space="preserve">r  </w:t>
      </w:r>
      <w:r w:rsidRPr="007223FB">
        <w:rPr>
          <w:rFonts w:eastAsia="Candara" w:cs="Candara"/>
          <w:spacing w:val="15"/>
        </w:rPr>
        <w:t xml:space="preserve"> </w:t>
      </w:r>
      <w:r w:rsidRPr="007223FB">
        <w:rPr>
          <w:rFonts w:eastAsia="Candara" w:cs="Candara"/>
          <w:spacing w:val="-1"/>
        </w:rPr>
        <w:t>co</w:t>
      </w:r>
      <w:r w:rsidRPr="007223FB">
        <w:rPr>
          <w:rFonts w:eastAsia="Candara" w:cs="Candara"/>
        </w:rPr>
        <w:t xml:space="preserve">n  </w:t>
      </w:r>
      <w:r w:rsidRPr="007223FB">
        <w:rPr>
          <w:rFonts w:eastAsia="Candara" w:cs="Candara"/>
          <w:spacing w:val="15"/>
        </w:rPr>
        <w:t xml:space="preserve"> </w:t>
      </w:r>
      <w:r w:rsidRPr="007223FB">
        <w:rPr>
          <w:rFonts w:eastAsia="Candara" w:cs="Candara"/>
        </w:rPr>
        <w:t>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spacing w:val="-3"/>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rPr>
        <w:t xml:space="preserve">s y </w:t>
      </w:r>
      <w:r w:rsidRPr="007223FB">
        <w:rPr>
          <w:rFonts w:eastAsia="Candara" w:cs="Candara"/>
          <w:spacing w:val="1"/>
        </w:rPr>
        <w:t>s</w:t>
      </w:r>
      <w:r w:rsidRPr="007223FB">
        <w:rPr>
          <w:rFonts w:eastAsia="Candara" w:cs="Candara"/>
        </w:rPr>
        <w:t>ubp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spacing w:val="-3"/>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rPr>
        <w:t>que las i</w:t>
      </w:r>
      <w:r w:rsidRPr="007223FB">
        <w:rPr>
          <w:rFonts w:eastAsia="Candara" w:cs="Candara"/>
          <w:spacing w:val="-2"/>
        </w:rPr>
        <w:t>n</w:t>
      </w:r>
      <w:r w:rsidRPr="007223FB">
        <w:rPr>
          <w:rFonts w:eastAsia="Candara" w:cs="Candara"/>
          <w:spacing w:val="1"/>
        </w:rPr>
        <w:t>s</w:t>
      </w:r>
      <w:r w:rsidRPr="007223FB">
        <w:rPr>
          <w:rFonts w:eastAsia="Candara" w:cs="Candara"/>
        </w:rPr>
        <w:t>titu</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rPr>
        <w:t>es</w:t>
      </w:r>
      <w:r w:rsidRPr="007223FB">
        <w:rPr>
          <w:rFonts w:eastAsia="Candara" w:cs="Candara"/>
          <w:spacing w:val="2"/>
        </w:rPr>
        <w:t xml:space="preserve"> </w:t>
      </w:r>
      <w:r w:rsidRPr="007223FB">
        <w:rPr>
          <w:rFonts w:eastAsia="Candara" w:cs="Candara"/>
          <w:spacing w:val="1"/>
        </w:rPr>
        <w:t>h</w:t>
      </w:r>
      <w:r w:rsidRPr="007223FB">
        <w:rPr>
          <w:rFonts w:eastAsia="Candara" w:cs="Candara"/>
          <w:spacing w:val="-2"/>
        </w:rPr>
        <w:t>a</w:t>
      </w:r>
      <w:r w:rsidRPr="007223FB">
        <w:rPr>
          <w:rFonts w:eastAsia="Candara" w:cs="Candara"/>
        </w:rPr>
        <w:t>n</w:t>
      </w:r>
      <w:r w:rsidRPr="007223FB">
        <w:rPr>
          <w:rFonts w:eastAsia="Candara" w:cs="Candara"/>
          <w:spacing w:val="1"/>
        </w:rPr>
        <w:t xml:space="preserve"> </w:t>
      </w:r>
      <w:r w:rsidRPr="007223FB">
        <w:rPr>
          <w:rFonts w:eastAsia="Candara" w:cs="Candara"/>
        </w:rPr>
        <w:t>vi</w:t>
      </w:r>
      <w:r w:rsidRPr="007223FB">
        <w:rPr>
          <w:rFonts w:eastAsia="Candara" w:cs="Candara"/>
          <w:spacing w:val="-2"/>
        </w:rPr>
        <w:t>n</w:t>
      </w:r>
      <w:r w:rsidRPr="007223FB">
        <w:rPr>
          <w:rFonts w:eastAsia="Candara" w:cs="Candara"/>
          <w:spacing w:val="1"/>
        </w:rPr>
        <w:t>c</w:t>
      </w:r>
      <w:r w:rsidRPr="007223FB">
        <w:rPr>
          <w:rFonts w:eastAsia="Candara" w:cs="Candara"/>
        </w:rPr>
        <w:t>ula</w:t>
      </w:r>
      <w:r w:rsidRPr="007223FB">
        <w:rPr>
          <w:rFonts w:eastAsia="Candara" w:cs="Candara"/>
          <w:spacing w:val="1"/>
        </w:rPr>
        <w:t>d</w:t>
      </w:r>
      <w:r w:rsidRPr="007223FB">
        <w:rPr>
          <w:rFonts w:eastAsia="Candara" w:cs="Candara"/>
        </w:rPr>
        <w:t>o p</w:t>
      </w:r>
      <w:r w:rsidRPr="007223FB">
        <w:rPr>
          <w:rFonts w:eastAsia="Candara" w:cs="Candara"/>
          <w:spacing w:val="-2"/>
        </w:rPr>
        <w:t>a</w:t>
      </w:r>
      <w:r w:rsidRPr="007223FB">
        <w:rPr>
          <w:rFonts w:eastAsia="Candara" w:cs="Candara"/>
          <w:spacing w:val="1"/>
        </w:rPr>
        <w:t>r</w:t>
      </w:r>
      <w:r w:rsidRPr="007223FB">
        <w:rPr>
          <w:rFonts w:eastAsia="Candara" w:cs="Candara"/>
        </w:rPr>
        <w:t xml:space="preserve">a </w:t>
      </w:r>
      <w:r w:rsidRPr="007223FB">
        <w:rPr>
          <w:rFonts w:eastAsia="Candara" w:cs="Candara"/>
          <w:spacing w:val="-1"/>
        </w:rPr>
        <w:t>s</w:t>
      </w:r>
      <w:r w:rsidRPr="007223FB">
        <w:rPr>
          <w:rFonts w:eastAsia="Candara" w:cs="Candara"/>
        </w:rPr>
        <w:t xml:space="preserve">u </w:t>
      </w:r>
      <w:r w:rsidRPr="007223FB">
        <w:rPr>
          <w:rFonts w:eastAsia="Candara" w:cs="Candara"/>
          <w:spacing w:val="1"/>
        </w:rPr>
        <w:t>c</w:t>
      </w:r>
      <w:r w:rsidRPr="007223FB">
        <w:rPr>
          <w:rFonts w:eastAsia="Candara" w:cs="Candara"/>
          <w:spacing w:val="-3"/>
        </w:rPr>
        <w:t>o</w:t>
      </w:r>
      <w:r w:rsidRPr="007223FB">
        <w:rPr>
          <w:rFonts w:eastAsia="Candara" w:cs="Candara"/>
          <w:spacing w:val="1"/>
        </w:rPr>
        <w:t>ns</w:t>
      </w:r>
      <w:r w:rsidRPr="007223FB">
        <w:rPr>
          <w:rFonts w:eastAsia="Candara" w:cs="Candara"/>
          <w:spacing w:val="-3"/>
        </w:rPr>
        <w:t>e</w:t>
      </w:r>
      <w:r w:rsidRPr="007223FB">
        <w:rPr>
          <w:rFonts w:eastAsia="Candara" w:cs="Candara"/>
          <w:spacing w:val="1"/>
        </w:rPr>
        <w:t>c</w:t>
      </w:r>
      <w:r w:rsidRPr="007223FB">
        <w:rPr>
          <w:rFonts w:eastAsia="Candara" w:cs="Candara"/>
        </w:rPr>
        <w:t>u</w:t>
      </w:r>
      <w:r w:rsidRPr="007223FB">
        <w:rPr>
          <w:rFonts w:eastAsia="Candara" w:cs="Candara"/>
          <w:spacing w:val="1"/>
        </w:rPr>
        <w:t>c</w:t>
      </w:r>
      <w:r w:rsidRPr="007223FB">
        <w:rPr>
          <w:rFonts w:eastAsia="Candara" w:cs="Candara"/>
        </w:rPr>
        <w:t>i</w:t>
      </w:r>
      <w:r w:rsidRPr="007223FB">
        <w:rPr>
          <w:rFonts w:eastAsia="Candara" w:cs="Candara"/>
          <w:spacing w:val="-3"/>
        </w:rPr>
        <w:t>ó</w:t>
      </w:r>
      <w:r w:rsidRPr="007223FB">
        <w:rPr>
          <w:rFonts w:eastAsia="Candara" w:cs="Candara"/>
          <w:spacing w:val="1"/>
        </w:rPr>
        <w:t>n</w:t>
      </w:r>
      <w:r w:rsidRPr="007223FB">
        <w:rPr>
          <w:rFonts w:eastAsia="Candara" w:cs="Candara"/>
        </w:rPr>
        <w:t>.</w:t>
      </w:r>
    </w:p>
    <w:p w:rsidR="007D0929" w:rsidRPr="007223FB" w:rsidRDefault="007D0929" w:rsidP="006C13F5">
      <w:pPr>
        <w:spacing w:before="120" w:after="120" w:line="240" w:lineRule="auto"/>
        <w:ind w:right="57"/>
        <w:rPr>
          <w:rFonts w:eastAsia="Candara" w:cs="Candara"/>
        </w:rPr>
      </w:pPr>
      <w:r w:rsidRPr="007223FB">
        <w:rPr>
          <w:rFonts w:eastAsia="Candara" w:cs="Candara"/>
          <w:spacing w:val="1"/>
        </w:rPr>
        <w:t>Es</w:t>
      </w:r>
      <w:r w:rsidRPr="007223FB">
        <w:rPr>
          <w:rFonts w:eastAsia="Candara" w:cs="Candara"/>
        </w:rPr>
        <w:t xml:space="preserve">te </w:t>
      </w:r>
      <w:r w:rsidRPr="007223FB">
        <w:rPr>
          <w:rFonts w:eastAsia="Candara" w:cs="Candara"/>
          <w:spacing w:val="1"/>
        </w:rPr>
        <w:t>d</w:t>
      </w:r>
      <w:r w:rsidRPr="007223FB">
        <w:rPr>
          <w:rFonts w:eastAsia="Candara" w:cs="Candara"/>
          <w:spacing w:val="-3"/>
        </w:rPr>
        <w:t>o</w:t>
      </w:r>
      <w:r w:rsidRPr="007223FB">
        <w:rPr>
          <w:rFonts w:eastAsia="Candara" w:cs="Candara"/>
          <w:spacing w:val="1"/>
        </w:rPr>
        <w:t>c</w:t>
      </w:r>
      <w:r w:rsidRPr="007223FB">
        <w:rPr>
          <w:rFonts w:eastAsia="Candara" w:cs="Candara"/>
        </w:rPr>
        <w:t>ume</w:t>
      </w:r>
      <w:r w:rsidRPr="007223FB">
        <w:rPr>
          <w:rFonts w:eastAsia="Candara" w:cs="Candara"/>
          <w:spacing w:val="1"/>
        </w:rPr>
        <w:t>n</w:t>
      </w:r>
      <w:r w:rsidRPr="007223FB">
        <w:rPr>
          <w:rFonts w:eastAsia="Candara" w:cs="Candara"/>
        </w:rPr>
        <w:t>to i</w:t>
      </w:r>
      <w:r w:rsidRPr="007223FB">
        <w:rPr>
          <w:rFonts w:eastAsia="Candara" w:cs="Candara"/>
          <w:spacing w:val="1"/>
        </w:rPr>
        <w:t>nc</w:t>
      </w:r>
      <w:r w:rsidRPr="007223FB">
        <w:rPr>
          <w:rFonts w:eastAsia="Candara" w:cs="Candara"/>
        </w:rPr>
        <w:t>l</w:t>
      </w:r>
      <w:r w:rsidRPr="007223FB">
        <w:rPr>
          <w:rFonts w:eastAsia="Candara" w:cs="Candara"/>
          <w:spacing w:val="-3"/>
        </w:rPr>
        <w:t>u</w:t>
      </w:r>
      <w:r w:rsidRPr="007223FB">
        <w:rPr>
          <w:rFonts w:eastAsia="Candara" w:cs="Candara"/>
          <w:spacing w:val="1"/>
        </w:rPr>
        <w:t>y</w:t>
      </w:r>
      <w:r w:rsidRPr="007223FB">
        <w:rPr>
          <w:rFonts w:eastAsia="Candara" w:cs="Candara"/>
        </w:rPr>
        <w:t>e la pa</w:t>
      </w:r>
      <w:r w:rsidRPr="007223FB">
        <w:rPr>
          <w:rFonts w:eastAsia="Candara" w:cs="Candara"/>
          <w:spacing w:val="1"/>
        </w:rPr>
        <w:t>r</w:t>
      </w:r>
      <w:r w:rsidRPr="007223FB">
        <w:rPr>
          <w:rFonts w:eastAsia="Candara" w:cs="Candara"/>
        </w:rPr>
        <w:t xml:space="preserve">te </w:t>
      </w:r>
      <w:r w:rsidRPr="007223FB">
        <w:rPr>
          <w:rFonts w:eastAsia="Candara" w:cs="Candara"/>
          <w:spacing w:val="1"/>
        </w:rPr>
        <w:t>r</w:t>
      </w:r>
      <w:r w:rsidRPr="007223FB">
        <w:rPr>
          <w:rFonts w:eastAsia="Candara" w:cs="Candara"/>
        </w:rPr>
        <w:t>efe</w:t>
      </w:r>
      <w:r w:rsidRPr="007223FB">
        <w:rPr>
          <w:rFonts w:eastAsia="Candara" w:cs="Candara"/>
          <w:spacing w:val="1"/>
        </w:rPr>
        <w:t>r</w:t>
      </w:r>
      <w:r w:rsidRPr="007223FB">
        <w:rPr>
          <w:rFonts w:eastAsia="Candara" w:cs="Candara"/>
        </w:rPr>
        <w:t>i</w:t>
      </w:r>
      <w:r w:rsidRPr="007223FB">
        <w:rPr>
          <w:rFonts w:eastAsia="Candara" w:cs="Candara"/>
          <w:spacing w:val="1"/>
        </w:rPr>
        <w:t>d</w:t>
      </w:r>
      <w:r w:rsidRPr="007223FB">
        <w:rPr>
          <w:rFonts w:eastAsia="Candara" w:cs="Candara"/>
        </w:rPr>
        <w:t>a a la 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ci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a</w:t>
      </w:r>
      <w:r w:rsidRPr="007223FB">
        <w:rPr>
          <w:rFonts w:eastAsia="Candara" w:cs="Candara"/>
          <w:spacing w:val="1"/>
        </w:rPr>
        <w:t>s</w:t>
      </w:r>
      <w:r w:rsidRPr="007223FB">
        <w:rPr>
          <w:rFonts w:eastAsia="Candara" w:cs="Candara"/>
          <w:spacing w:val="-3"/>
        </w:rPr>
        <w:t>o</w:t>
      </w:r>
      <w:r w:rsidRPr="007223FB">
        <w:rPr>
          <w:rFonts w:eastAsia="Candara" w:cs="Candara"/>
          <w:spacing w:val="1"/>
        </w:rPr>
        <w:t>c</w:t>
      </w:r>
      <w:r w:rsidRPr="007223FB">
        <w:rPr>
          <w:rFonts w:eastAsia="Candara" w:cs="Candara"/>
        </w:rPr>
        <w:t>ia</w:t>
      </w:r>
      <w:r w:rsidRPr="007223FB">
        <w:rPr>
          <w:rFonts w:eastAsia="Candara" w:cs="Candara"/>
          <w:spacing w:val="1"/>
        </w:rPr>
        <w:t>d</w:t>
      </w:r>
      <w:r w:rsidRPr="007223FB">
        <w:rPr>
          <w:rFonts w:eastAsia="Candara" w:cs="Candara"/>
        </w:rPr>
        <w:t xml:space="preserve">a a </w:t>
      </w:r>
      <w:r w:rsidRPr="007223FB">
        <w:rPr>
          <w:rFonts w:eastAsia="Candara" w:cs="Candara"/>
          <w:spacing w:val="-2"/>
        </w:rPr>
        <w:t>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 xml:space="preserve">14 </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3"/>
        </w:rPr>
        <w:t>o</w:t>
      </w:r>
      <w:r w:rsidRPr="007223FB">
        <w:rPr>
          <w:rFonts w:eastAsia="Candara" w:cs="Candara"/>
        </w:rPr>
        <w:t xml:space="preserve">s </w:t>
      </w:r>
      <w:r w:rsidRPr="007223FB">
        <w:rPr>
          <w:rFonts w:eastAsia="Candara" w:cs="Candara"/>
          <w:spacing w:val="1"/>
        </w:rPr>
        <w:t>Es</w:t>
      </w:r>
      <w:r w:rsidRPr="007223FB">
        <w:rPr>
          <w:rFonts w:eastAsia="Candara" w:cs="Candara"/>
        </w:rPr>
        <w:t>t</w:t>
      </w:r>
      <w:r w:rsidRPr="007223FB">
        <w:rPr>
          <w:rFonts w:eastAsia="Candara" w:cs="Candara"/>
          <w:spacing w:val="1"/>
        </w:rPr>
        <w:t>r</w:t>
      </w:r>
      <w:r w:rsidRPr="007223FB">
        <w:rPr>
          <w:rFonts w:eastAsia="Candara" w:cs="Candara"/>
          <w:spacing w:val="-2"/>
        </w:rPr>
        <w:t>a</w:t>
      </w:r>
      <w:r w:rsidRPr="007223FB">
        <w:rPr>
          <w:rFonts w:eastAsia="Candara" w:cs="Candara"/>
        </w:rPr>
        <w:t>té</w:t>
      </w:r>
      <w:r w:rsidRPr="007223FB">
        <w:rPr>
          <w:rFonts w:eastAsia="Candara" w:cs="Candara"/>
          <w:spacing w:val="1"/>
        </w:rPr>
        <w:t>g</w:t>
      </w:r>
      <w:r w:rsidRPr="007223FB">
        <w:rPr>
          <w:rFonts w:eastAsia="Candara" w:cs="Candara"/>
          <w:spacing w:val="-2"/>
        </w:rPr>
        <w:t>i</w:t>
      </w:r>
      <w:r w:rsidRPr="007223FB">
        <w:rPr>
          <w:rFonts w:eastAsia="Candara" w:cs="Candara"/>
          <w:spacing w:val="1"/>
        </w:rPr>
        <w:t>c</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spacing w:val="1"/>
        </w:rPr>
        <w:t>P</w:t>
      </w:r>
      <w:r w:rsidRPr="007223FB">
        <w:rPr>
          <w:rFonts w:eastAsia="Candara" w:cs="Candara"/>
        </w:rPr>
        <w:t>aí</w:t>
      </w:r>
      <w:r w:rsidRPr="007223FB">
        <w:rPr>
          <w:rFonts w:eastAsia="Candara" w:cs="Candara"/>
          <w:spacing w:val="1"/>
        </w:rPr>
        <w:t>s</w:t>
      </w:r>
      <w:r w:rsidRPr="007223FB">
        <w:rPr>
          <w:rFonts w:eastAsia="Candara" w:cs="Candara"/>
        </w:rPr>
        <w:t>,</w:t>
      </w:r>
      <w:r w:rsidRPr="007223FB">
        <w:rPr>
          <w:rFonts w:eastAsia="Candara" w:cs="Candara"/>
          <w:spacing w:val="2"/>
        </w:rPr>
        <w:t xml:space="preserve"> </w:t>
      </w:r>
      <w:r w:rsidRPr="007223FB">
        <w:rPr>
          <w:rFonts w:eastAsia="Candara" w:cs="Candara"/>
          <w:spacing w:val="-3"/>
        </w:rPr>
        <w:t>e</w:t>
      </w:r>
      <w:r w:rsidRPr="007223FB">
        <w:rPr>
          <w:rFonts w:eastAsia="Candara" w:cs="Candara"/>
        </w:rPr>
        <w:t>n</w:t>
      </w:r>
      <w:r w:rsidRPr="007223FB">
        <w:rPr>
          <w:rFonts w:eastAsia="Candara" w:cs="Candara"/>
          <w:spacing w:val="1"/>
        </w:rPr>
        <w:t xml:space="preserve"> d</w:t>
      </w:r>
      <w:r w:rsidRPr="007223FB">
        <w:rPr>
          <w:rFonts w:eastAsia="Candara" w:cs="Candara"/>
          <w:spacing w:val="-1"/>
        </w:rPr>
        <w:t>o</w:t>
      </w:r>
      <w:r w:rsidRPr="007223FB">
        <w:rPr>
          <w:rFonts w:eastAsia="Candara" w:cs="Candara"/>
          <w:spacing w:val="1"/>
        </w:rPr>
        <w:t>nd</w:t>
      </w:r>
      <w:r w:rsidRPr="007223FB">
        <w:rPr>
          <w:rFonts w:eastAsia="Candara" w:cs="Candara"/>
        </w:rPr>
        <w:t xml:space="preserve">e </w:t>
      </w:r>
      <w:r w:rsidRPr="007223FB">
        <w:rPr>
          <w:rFonts w:eastAsia="Candara" w:cs="Candara"/>
          <w:spacing w:val="1"/>
        </w:rPr>
        <w:t>s</w:t>
      </w:r>
      <w:r w:rsidRPr="007223FB">
        <w:rPr>
          <w:rFonts w:eastAsia="Candara" w:cs="Candara"/>
        </w:rPr>
        <w:t>e</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rPr>
        <w:t>tabl</w:t>
      </w:r>
      <w:r w:rsidRPr="007223FB">
        <w:rPr>
          <w:rFonts w:eastAsia="Candara" w:cs="Candara"/>
          <w:spacing w:val="-3"/>
        </w:rPr>
        <w:t>e</w:t>
      </w:r>
      <w:r w:rsidRPr="007223FB">
        <w:rPr>
          <w:rFonts w:eastAsia="Candara" w:cs="Candara"/>
          <w:spacing w:val="1"/>
        </w:rPr>
        <w:t>c</w:t>
      </w:r>
      <w:r w:rsidRPr="007223FB">
        <w:rPr>
          <w:rFonts w:eastAsia="Candara" w:cs="Candara"/>
        </w:rPr>
        <w:t>e</w:t>
      </w:r>
      <w:r w:rsidRPr="007223FB">
        <w:rPr>
          <w:rFonts w:eastAsia="Candara" w:cs="Candara"/>
          <w:spacing w:val="2"/>
        </w:rPr>
        <w:t xml:space="preserve"> </w:t>
      </w:r>
      <w:r w:rsidRPr="007223FB">
        <w:rPr>
          <w:rFonts w:eastAsia="Candara" w:cs="Candara"/>
        </w:rPr>
        <w:t>un</w:t>
      </w:r>
      <w:r w:rsidRPr="007223FB">
        <w:rPr>
          <w:rFonts w:eastAsia="Candara" w:cs="Candara"/>
          <w:spacing w:val="4"/>
        </w:rPr>
        <w:t xml:space="preserve"> </w:t>
      </w:r>
      <w:r w:rsidRPr="007223FB">
        <w:rPr>
          <w:rFonts w:eastAsia="Candara" w:cs="Candara"/>
          <w:spacing w:val="-2"/>
        </w:rPr>
        <w:t>a</w:t>
      </w:r>
      <w:r w:rsidRPr="007223FB">
        <w:rPr>
          <w:rFonts w:eastAsia="Candara" w:cs="Candara"/>
          <w:spacing w:val="1"/>
        </w:rPr>
        <w:t>n</w:t>
      </w:r>
      <w:r w:rsidRPr="007223FB">
        <w:rPr>
          <w:rFonts w:eastAsia="Candara" w:cs="Candara"/>
        </w:rPr>
        <w:t>ális</w:t>
      </w:r>
      <w:r w:rsidRPr="007223FB">
        <w:rPr>
          <w:rFonts w:eastAsia="Candara" w:cs="Candara"/>
          <w:spacing w:val="-2"/>
        </w:rPr>
        <w:t>i</w:t>
      </w:r>
      <w:r w:rsidRPr="007223FB">
        <w:rPr>
          <w:rFonts w:eastAsia="Candara" w:cs="Candara"/>
        </w:rPr>
        <w:t>s</w:t>
      </w:r>
      <w:r w:rsidRPr="007223FB">
        <w:rPr>
          <w:rFonts w:eastAsia="Candara" w:cs="Candara"/>
          <w:spacing w:val="4"/>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l</w:t>
      </w:r>
      <w:r w:rsidRPr="007223FB">
        <w:rPr>
          <w:rFonts w:eastAsia="Candara" w:cs="Candara"/>
          <w:spacing w:val="-2"/>
        </w:rPr>
        <w:t>a</w:t>
      </w:r>
      <w:r w:rsidRPr="007223FB">
        <w:rPr>
          <w:rFonts w:eastAsia="Candara" w:cs="Candara"/>
        </w:rPr>
        <w:t>s</w:t>
      </w:r>
      <w:r w:rsidRPr="007223FB">
        <w:rPr>
          <w:rFonts w:eastAsia="Candara" w:cs="Candara"/>
          <w:spacing w:val="4"/>
        </w:rPr>
        <w:t xml:space="preserve"> </w:t>
      </w:r>
      <w:r w:rsidRPr="007223FB">
        <w:rPr>
          <w:rFonts w:eastAsia="Candara" w:cs="Candara"/>
        </w:rPr>
        <w:t>a</w:t>
      </w:r>
      <w:r w:rsidRPr="007223FB">
        <w:rPr>
          <w:rFonts w:eastAsia="Candara" w:cs="Candara"/>
          <w:spacing w:val="-1"/>
        </w:rPr>
        <w:t>c</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rPr>
        <w:t>es</w:t>
      </w:r>
      <w:r w:rsidRPr="007223FB">
        <w:rPr>
          <w:rFonts w:eastAsia="Candara" w:cs="Candara"/>
          <w:spacing w:val="4"/>
        </w:rPr>
        <w:t xml:space="preserve"> </w:t>
      </w:r>
      <w:r w:rsidRPr="007223FB">
        <w:rPr>
          <w:rFonts w:eastAsia="Candara" w:cs="Candara"/>
          <w:spacing w:val="-2"/>
        </w:rPr>
        <w:t>p</w:t>
      </w:r>
      <w:r w:rsidRPr="007223FB">
        <w:rPr>
          <w:rFonts w:eastAsia="Candara" w:cs="Candara"/>
          <w:spacing w:val="-1"/>
        </w:rPr>
        <w:t>ro</w:t>
      </w:r>
      <w:r w:rsidRPr="007223FB">
        <w:rPr>
          <w:rFonts w:eastAsia="Candara" w:cs="Candara"/>
          <w:spacing w:val="1"/>
        </w:rPr>
        <w:t>gr</w:t>
      </w:r>
      <w:r w:rsidRPr="007223FB">
        <w:rPr>
          <w:rFonts w:eastAsia="Candara" w:cs="Candara"/>
        </w:rPr>
        <w:t>ama</w:t>
      </w:r>
      <w:r w:rsidRPr="007223FB">
        <w:rPr>
          <w:rFonts w:eastAsia="Candara" w:cs="Candara"/>
          <w:spacing w:val="1"/>
        </w:rPr>
        <w:t>d</w:t>
      </w:r>
      <w:r w:rsidRPr="007223FB">
        <w:rPr>
          <w:rFonts w:eastAsia="Candara" w:cs="Candara"/>
          <w:spacing w:val="-2"/>
        </w:rPr>
        <w:t>a</w:t>
      </w:r>
      <w:r w:rsidRPr="007223FB">
        <w:rPr>
          <w:rFonts w:eastAsia="Candara" w:cs="Candara"/>
        </w:rPr>
        <w:t>s</w:t>
      </w:r>
      <w:r w:rsidRPr="007223FB">
        <w:rPr>
          <w:rFonts w:eastAsia="Candara" w:cs="Candara"/>
          <w:spacing w:val="4"/>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4"/>
        </w:rPr>
        <w:t xml:space="preserve"> </w:t>
      </w:r>
      <w:r w:rsidRPr="007223FB">
        <w:rPr>
          <w:rFonts w:eastAsia="Candara" w:cs="Candara"/>
        </w:rPr>
        <w:t>l</w:t>
      </w:r>
      <w:r w:rsidRPr="007223FB">
        <w:rPr>
          <w:rFonts w:eastAsia="Candara" w:cs="Candara"/>
          <w:spacing w:val="-2"/>
        </w:rPr>
        <w:t>a</w:t>
      </w:r>
      <w:r w:rsidRPr="007223FB">
        <w:rPr>
          <w:rFonts w:eastAsia="Candara" w:cs="Candara"/>
        </w:rPr>
        <w:t>s i</w:t>
      </w:r>
      <w:r w:rsidRPr="007223FB">
        <w:rPr>
          <w:rFonts w:eastAsia="Candara" w:cs="Candara"/>
          <w:spacing w:val="1"/>
        </w:rPr>
        <w:t>ns</w:t>
      </w:r>
      <w:r w:rsidRPr="007223FB">
        <w:rPr>
          <w:rFonts w:eastAsia="Candara" w:cs="Candara"/>
        </w:rPr>
        <w:t>tit</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rPr>
        <w:t>es</w:t>
      </w:r>
      <w:r w:rsidRPr="007223FB">
        <w:rPr>
          <w:rFonts w:eastAsia="Candara" w:cs="Candara"/>
          <w:spacing w:val="2"/>
        </w:rPr>
        <w:t xml:space="preserve"> </w:t>
      </w:r>
      <w:r w:rsidRPr="007223FB">
        <w:rPr>
          <w:rFonts w:eastAsia="Candara" w:cs="Candara"/>
          <w:spacing w:val="1"/>
        </w:rPr>
        <w:t>d</w:t>
      </w:r>
      <w:r w:rsidRPr="007223FB">
        <w:rPr>
          <w:rFonts w:eastAsia="Candara" w:cs="Candara"/>
        </w:rPr>
        <w:t xml:space="preserve">e </w:t>
      </w:r>
      <w:r w:rsidRPr="007223FB">
        <w:rPr>
          <w:rFonts w:eastAsia="Candara" w:cs="Candara"/>
          <w:spacing w:val="1"/>
        </w:rPr>
        <w:t>c</w:t>
      </w:r>
      <w:r w:rsidRPr="007223FB">
        <w:rPr>
          <w:rFonts w:eastAsia="Candara" w:cs="Candara"/>
          <w:spacing w:val="-1"/>
        </w:rPr>
        <w:t>o</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spacing w:val="-3"/>
        </w:rPr>
        <w:t>m</w:t>
      </w:r>
      <w:r w:rsidRPr="007223FB">
        <w:rPr>
          <w:rFonts w:eastAsia="Candara" w:cs="Candara"/>
        </w:rPr>
        <w:t>i</w:t>
      </w:r>
      <w:r w:rsidRPr="007223FB">
        <w:rPr>
          <w:rFonts w:eastAsia="Candara" w:cs="Candara"/>
          <w:spacing w:val="1"/>
        </w:rPr>
        <w:t>d</w:t>
      </w:r>
      <w:r w:rsidRPr="007223FB">
        <w:rPr>
          <w:rFonts w:eastAsia="Candara" w:cs="Candara"/>
        </w:rPr>
        <w:t>ad</w:t>
      </w:r>
      <w:r w:rsidRPr="007223FB">
        <w:rPr>
          <w:rFonts w:eastAsia="Candara" w:cs="Candara"/>
          <w:spacing w:val="2"/>
        </w:rPr>
        <w:t xml:space="preserve"> </w:t>
      </w:r>
      <w:r w:rsidRPr="007223FB">
        <w:rPr>
          <w:rFonts w:eastAsia="Candara" w:cs="Candara"/>
          <w:spacing w:val="1"/>
        </w:rPr>
        <w:t>c</w:t>
      </w:r>
      <w:r w:rsidRPr="007223FB">
        <w:rPr>
          <w:rFonts w:eastAsia="Candara" w:cs="Candara"/>
          <w:spacing w:val="-1"/>
        </w:rPr>
        <w:t>o</w:t>
      </w:r>
      <w:r w:rsidRPr="007223FB">
        <w:rPr>
          <w:rFonts w:eastAsia="Candara" w:cs="Candara"/>
        </w:rPr>
        <w:t>n</w:t>
      </w:r>
      <w:r w:rsidRPr="007223FB">
        <w:rPr>
          <w:rFonts w:eastAsia="Candara" w:cs="Candara"/>
          <w:spacing w:val="2"/>
        </w:rPr>
        <w:t xml:space="preserve"> </w:t>
      </w:r>
      <w:r w:rsidRPr="007223FB">
        <w:rPr>
          <w:rFonts w:eastAsia="Candara" w:cs="Candara"/>
          <w:spacing w:val="1"/>
        </w:rPr>
        <w:t>s</w:t>
      </w:r>
      <w:r w:rsidRPr="007223FB">
        <w:rPr>
          <w:rFonts w:eastAsia="Candara" w:cs="Candara"/>
        </w:rPr>
        <w:t>u</w:t>
      </w:r>
      <w:r w:rsidRPr="007223FB">
        <w:rPr>
          <w:rFonts w:eastAsia="Candara" w:cs="Candara"/>
          <w:spacing w:val="3"/>
        </w:rPr>
        <w:t xml:space="preserve"> </w:t>
      </w:r>
      <w:r w:rsidRPr="007223FB">
        <w:rPr>
          <w:rFonts w:eastAsia="Candara" w:cs="Candara"/>
        </w:rPr>
        <w:t>afi</w:t>
      </w:r>
      <w:r w:rsidRPr="007223FB">
        <w:rPr>
          <w:rFonts w:eastAsia="Candara" w:cs="Candara"/>
          <w:spacing w:val="1"/>
        </w:rPr>
        <w:t>n</w:t>
      </w:r>
      <w:r w:rsidRPr="007223FB">
        <w:rPr>
          <w:rFonts w:eastAsia="Candara" w:cs="Candara"/>
          <w:spacing w:val="-2"/>
        </w:rPr>
        <w:t>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4"/>
        </w:rPr>
        <w:t xml:space="preserve"> </w:t>
      </w:r>
      <w:r w:rsidRPr="007223FB">
        <w:rPr>
          <w:rFonts w:eastAsia="Candara" w:cs="Candara"/>
        </w:rPr>
        <w:t>a</w:t>
      </w:r>
      <w:r w:rsidRPr="007223FB">
        <w:rPr>
          <w:rFonts w:eastAsia="Candara" w:cs="Candara"/>
          <w:spacing w:val="1"/>
        </w:rPr>
        <w:t xml:space="preserve"> és</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l</w:t>
      </w:r>
      <w:r w:rsidRPr="007223FB">
        <w:rPr>
          <w:rFonts w:eastAsia="Candara" w:cs="Candara"/>
          <w:spacing w:val="-3"/>
        </w:rPr>
        <w:t>o</w:t>
      </w:r>
      <w:r w:rsidRPr="007223FB">
        <w:rPr>
          <w:rFonts w:eastAsia="Candara" w:cs="Candara"/>
        </w:rPr>
        <w:t>s</w:t>
      </w:r>
      <w:r w:rsidRPr="007223FB">
        <w:rPr>
          <w:rFonts w:eastAsia="Candara" w:cs="Candara"/>
          <w:spacing w:val="4"/>
        </w:rPr>
        <w:t xml:space="preserve"> </w:t>
      </w:r>
      <w:r w:rsidRPr="007223FB">
        <w:rPr>
          <w:rFonts w:eastAsia="Candara" w:cs="Candara"/>
        </w:rPr>
        <w:t xml:space="preserve">que </w:t>
      </w:r>
      <w:r w:rsidRPr="007223FB">
        <w:rPr>
          <w:rFonts w:eastAsia="Candara" w:cs="Candara"/>
          <w:spacing w:val="1"/>
        </w:rPr>
        <w:t>c</w:t>
      </w:r>
      <w:r w:rsidRPr="007223FB">
        <w:rPr>
          <w:rFonts w:eastAsia="Candara" w:cs="Candara"/>
          <w:spacing w:val="-1"/>
        </w:rPr>
        <w:t>o</w:t>
      </w:r>
      <w:r w:rsidRPr="007223FB">
        <w:rPr>
          <w:rFonts w:eastAsia="Candara" w:cs="Candara"/>
          <w:spacing w:val="-2"/>
        </w:rPr>
        <w:t>n</w:t>
      </w:r>
      <w:r w:rsidRPr="007223FB">
        <w:rPr>
          <w:rFonts w:eastAsia="Candara" w:cs="Candara"/>
          <w:spacing w:val="1"/>
        </w:rPr>
        <w:t>s</w:t>
      </w:r>
      <w:r w:rsidRPr="007223FB">
        <w:rPr>
          <w:rFonts w:eastAsia="Candara" w:cs="Candara"/>
        </w:rPr>
        <w:t>titu</w:t>
      </w:r>
      <w:r w:rsidRPr="007223FB">
        <w:rPr>
          <w:rFonts w:eastAsia="Candara" w:cs="Candara"/>
          <w:spacing w:val="1"/>
        </w:rPr>
        <w:t>y</w:t>
      </w:r>
      <w:r w:rsidRPr="007223FB">
        <w:rPr>
          <w:rFonts w:eastAsia="Candara" w:cs="Candara"/>
        </w:rPr>
        <w:t>en</w:t>
      </w:r>
      <w:r w:rsidRPr="007223FB">
        <w:rPr>
          <w:rFonts w:eastAsia="Candara" w:cs="Candara"/>
          <w:spacing w:val="2"/>
        </w:rPr>
        <w:t xml:space="preserve"> </w:t>
      </w:r>
      <w:r w:rsidRPr="007223FB">
        <w:rPr>
          <w:rFonts w:eastAsia="Candara" w:cs="Candara"/>
          <w:spacing w:val="-3"/>
        </w:rPr>
        <w:t>u</w:t>
      </w:r>
      <w:r w:rsidRPr="007223FB">
        <w:rPr>
          <w:rFonts w:eastAsia="Candara" w:cs="Candara"/>
        </w:rPr>
        <w:t xml:space="preserve">n </w:t>
      </w:r>
      <w:r w:rsidRPr="007223FB">
        <w:rPr>
          <w:rFonts w:eastAsia="Candara" w:cs="Candara"/>
          <w:spacing w:val="1"/>
        </w:rPr>
        <w:t>c</w:t>
      </w:r>
      <w:r w:rsidRPr="007223FB">
        <w:rPr>
          <w:rFonts w:eastAsia="Candara" w:cs="Candara"/>
          <w:spacing w:val="-1"/>
        </w:rPr>
        <w:t>o</w:t>
      </w:r>
      <w:r w:rsidRPr="007223FB">
        <w:rPr>
          <w:rFonts w:eastAsia="Candara" w:cs="Candara"/>
        </w:rPr>
        <w:t>mp</w:t>
      </w:r>
      <w:r w:rsidRPr="007223FB">
        <w:rPr>
          <w:rFonts w:eastAsia="Candara" w:cs="Candara"/>
          <w:spacing w:val="1"/>
        </w:rPr>
        <w:t>r</w:t>
      </w:r>
      <w:r w:rsidRPr="007223FB">
        <w:rPr>
          <w:rFonts w:eastAsia="Candara" w:cs="Candara"/>
          <w:spacing w:val="-1"/>
        </w:rPr>
        <w:t>o</w:t>
      </w:r>
      <w:r w:rsidRPr="007223FB">
        <w:rPr>
          <w:rFonts w:eastAsia="Candara" w:cs="Candara"/>
        </w:rPr>
        <w:t>mi</w:t>
      </w:r>
      <w:r w:rsidRPr="007223FB">
        <w:rPr>
          <w:rFonts w:eastAsia="Candara" w:cs="Candara"/>
          <w:spacing w:val="1"/>
        </w:rPr>
        <w:t>s</w:t>
      </w:r>
      <w:r w:rsidRPr="007223FB">
        <w:rPr>
          <w:rFonts w:eastAsia="Candara" w:cs="Candara"/>
        </w:rPr>
        <w:t>o</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líti</w:t>
      </w:r>
      <w:r w:rsidRPr="007223FB">
        <w:rPr>
          <w:rFonts w:eastAsia="Candara" w:cs="Candara"/>
          <w:spacing w:val="1"/>
        </w:rPr>
        <w:t>c</w:t>
      </w:r>
      <w:r w:rsidRPr="007223FB">
        <w:rPr>
          <w:rFonts w:eastAsia="Candara" w:cs="Candara"/>
        </w:rPr>
        <w:t>o</w:t>
      </w:r>
      <w:r w:rsidRPr="007223FB">
        <w:rPr>
          <w:rFonts w:eastAsia="Candara" w:cs="Candara"/>
          <w:spacing w:val="1"/>
        </w:rPr>
        <w:t xml:space="preserve"> d</w:t>
      </w:r>
      <w:r w:rsidRPr="007223FB">
        <w:rPr>
          <w:rFonts w:eastAsia="Candara" w:cs="Candara"/>
        </w:rPr>
        <w:t>e</w:t>
      </w:r>
      <w:r w:rsidRPr="007223FB">
        <w:rPr>
          <w:rFonts w:eastAsia="Candara" w:cs="Candara"/>
          <w:spacing w:val="4"/>
        </w:rPr>
        <w:t xml:space="preserve"> </w:t>
      </w:r>
      <w:r w:rsidRPr="007223FB">
        <w:rPr>
          <w:rFonts w:eastAsia="Candara" w:cs="Candara"/>
        </w:rPr>
        <w:t>la</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e</w:t>
      </w:r>
      <w:r w:rsidRPr="007223FB">
        <w:rPr>
          <w:rFonts w:eastAsia="Candara" w:cs="Candara"/>
          <w:spacing w:val="1"/>
        </w:rPr>
        <w:t>n</w:t>
      </w:r>
      <w:r w:rsidRPr="007223FB">
        <w:rPr>
          <w:rFonts w:eastAsia="Candara" w:cs="Candara"/>
        </w:rPr>
        <w:t>te</w:t>
      </w:r>
      <w:r w:rsidRPr="007223FB">
        <w:rPr>
          <w:rFonts w:eastAsia="Candara" w:cs="Candara"/>
          <w:spacing w:val="4"/>
        </w:rPr>
        <w:t xml:space="preserve"> </w:t>
      </w:r>
      <w:r w:rsidRPr="007223FB">
        <w:rPr>
          <w:rFonts w:eastAsia="Candara" w:cs="Candara"/>
          <w:spacing w:val="-2"/>
        </w:rPr>
        <w:t>a</w:t>
      </w:r>
      <w:r w:rsidRPr="007223FB">
        <w:rPr>
          <w:rFonts w:eastAsia="Candara" w:cs="Candara"/>
          <w:spacing w:val="1"/>
        </w:rPr>
        <w:t>d</w:t>
      </w:r>
      <w:r w:rsidRPr="007223FB">
        <w:rPr>
          <w:rFonts w:eastAsia="Candara" w:cs="Candara"/>
        </w:rPr>
        <w:t>mi</w:t>
      </w:r>
      <w:r w:rsidRPr="007223FB">
        <w:rPr>
          <w:rFonts w:eastAsia="Candara" w:cs="Candara"/>
          <w:spacing w:val="1"/>
        </w:rPr>
        <w:t>n</w:t>
      </w:r>
      <w:r w:rsidRPr="007223FB">
        <w:rPr>
          <w:rFonts w:eastAsia="Candara" w:cs="Candara"/>
          <w:spacing w:val="-2"/>
        </w:rPr>
        <w:t>i</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 xml:space="preserve">n </w:t>
      </w:r>
      <w:r w:rsidRPr="007223FB">
        <w:rPr>
          <w:rFonts w:eastAsia="Candara" w:cs="Candara"/>
          <w:spacing w:val="1"/>
        </w:rPr>
        <w:t>d</w:t>
      </w:r>
      <w:r w:rsidRPr="007223FB">
        <w:rPr>
          <w:rFonts w:eastAsia="Candara" w:cs="Candara"/>
        </w:rPr>
        <w:t>e</w:t>
      </w:r>
      <w:r w:rsidRPr="007223FB">
        <w:rPr>
          <w:rFonts w:eastAsia="Candara" w:cs="Candara"/>
          <w:spacing w:val="1"/>
        </w:rPr>
        <w:t xml:space="preserve"> g</w:t>
      </w:r>
      <w:r w:rsidRPr="007223FB">
        <w:rPr>
          <w:rFonts w:eastAsia="Candara" w:cs="Candara"/>
          <w:spacing w:val="-1"/>
        </w:rPr>
        <w:t>o</w:t>
      </w:r>
      <w:r w:rsidRPr="007223FB">
        <w:rPr>
          <w:rFonts w:eastAsia="Candara" w:cs="Candara"/>
          <w:spacing w:val="-2"/>
        </w:rPr>
        <w:t>b</w:t>
      </w:r>
      <w:r w:rsidRPr="007223FB">
        <w:rPr>
          <w:rFonts w:eastAsia="Candara" w:cs="Candara"/>
        </w:rPr>
        <w:t>ie</w:t>
      </w:r>
      <w:r w:rsidRPr="007223FB">
        <w:rPr>
          <w:rFonts w:eastAsia="Candara" w:cs="Candara"/>
          <w:spacing w:val="1"/>
        </w:rPr>
        <w:t>rn</w:t>
      </w:r>
      <w:r w:rsidRPr="007223FB">
        <w:rPr>
          <w:rFonts w:eastAsia="Candara" w:cs="Candara"/>
        </w:rPr>
        <w:t>o</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3"/>
        </w:rPr>
        <w:t xml:space="preserve"> </w:t>
      </w:r>
      <w:r w:rsidRPr="007223FB">
        <w:rPr>
          <w:rFonts w:eastAsia="Candara" w:cs="Candara"/>
          <w:spacing w:val="1"/>
        </w:rPr>
        <w:t>c</w:t>
      </w:r>
      <w:r w:rsidRPr="007223FB">
        <w:rPr>
          <w:rFonts w:eastAsia="Candara" w:cs="Candara"/>
        </w:rPr>
        <w:t>ua</w:t>
      </w:r>
      <w:r w:rsidRPr="007223FB">
        <w:rPr>
          <w:rFonts w:eastAsia="Candara" w:cs="Candara"/>
          <w:spacing w:val="1"/>
        </w:rPr>
        <w:t>n</w:t>
      </w:r>
      <w:r w:rsidRPr="007223FB">
        <w:rPr>
          <w:rFonts w:eastAsia="Candara" w:cs="Candara"/>
        </w:rPr>
        <w:t>to</w:t>
      </w:r>
      <w:r w:rsidRPr="007223FB">
        <w:rPr>
          <w:rFonts w:eastAsia="Candara" w:cs="Candara"/>
          <w:spacing w:val="1"/>
        </w:rPr>
        <w:t xml:space="preserve"> s</w:t>
      </w:r>
      <w:r w:rsidRPr="007223FB">
        <w:rPr>
          <w:rFonts w:eastAsia="Candara" w:cs="Candara"/>
          <w:spacing w:val="-2"/>
        </w:rPr>
        <w:t>i</w:t>
      </w:r>
      <w:r w:rsidRPr="007223FB">
        <w:rPr>
          <w:rFonts w:eastAsia="Candara" w:cs="Candara"/>
          <w:spacing w:val="1"/>
        </w:rPr>
        <w:t>r</w:t>
      </w:r>
      <w:r w:rsidRPr="007223FB">
        <w:rPr>
          <w:rFonts w:eastAsia="Candara" w:cs="Candara"/>
        </w:rPr>
        <w:t>ven</w:t>
      </w:r>
      <w:r w:rsidRPr="007223FB">
        <w:rPr>
          <w:rFonts w:eastAsia="Candara" w:cs="Candara"/>
          <w:spacing w:val="5"/>
        </w:rPr>
        <w:t xml:space="preserve"> </w:t>
      </w:r>
      <w:r w:rsidRPr="007223FB">
        <w:rPr>
          <w:rFonts w:eastAsia="Candara" w:cs="Candara"/>
        </w:rPr>
        <w:t>p</w:t>
      </w:r>
      <w:r w:rsidRPr="007223FB">
        <w:rPr>
          <w:rFonts w:eastAsia="Candara" w:cs="Candara"/>
          <w:spacing w:val="-2"/>
        </w:rPr>
        <w:t>a</w:t>
      </w:r>
      <w:r w:rsidRPr="007223FB">
        <w:rPr>
          <w:rFonts w:eastAsia="Candara" w:cs="Candara"/>
          <w:spacing w:val="1"/>
        </w:rPr>
        <w:t>r</w:t>
      </w:r>
      <w:r w:rsidRPr="007223FB">
        <w:rPr>
          <w:rFonts w:eastAsia="Candara" w:cs="Candara"/>
        </w:rPr>
        <w:t>a</w:t>
      </w:r>
      <w:r w:rsidRPr="007223FB">
        <w:rPr>
          <w:rFonts w:eastAsia="Candara" w:cs="Candara"/>
          <w:spacing w:val="4"/>
        </w:rPr>
        <w:t xml:space="preserve"> </w:t>
      </w:r>
      <w:r w:rsidRPr="007223FB">
        <w:rPr>
          <w:rFonts w:eastAsia="Candara" w:cs="Candara"/>
          <w:spacing w:val="-3"/>
        </w:rPr>
        <w:t>o</w:t>
      </w:r>
      <w:r w:rsidRPr="007223FB">
        <w:rPr>
          <w:rFonts w:eastAsia="Candara" w:cs="Candara"/>
          <w:spacing w:val="1"/>
        </w:rPr>
        <w:t>r</w:t>
      </w:r>
      <w:r w:rsidRPr="007223FB">
        <w:rPr>
          <w:rFonts w:eastAsia="Candara" w:cs="Candara"/>
        </w:rPr>
        <w:t>ie</w:t>
      </w:r>
      <w:r w:rsidRPr="007223FB">
        <w:rPr>
          <w:rFonts w:eastAsia="Candara" w:cs="Candara"/>
          <w:spacing w:val="1"/>
        </w:rPr>
        <w:t>n</w:t>
      </w:r>
      <w:r w:rsidRPr="007223FB">
        <w:rPr>
          <w:rFonts w:eastAsia="Candara" w:cs="Candara"/>
          <w:spacing w:val="-2"/>
        </w:rPr>
        <w:t>ta</w:t>
      </w:r>
      <w:r w:rsidRPr="007223FB">
        <w:rPr>
          <w:rFonts w:eastAsia="Candara" w:cs="Candara"/>
        </w:rPr>
        <w:t>r las</w:t>
      </w:r>
      <w:r w:rsidRPr="007223FB">
        <w:rPr>
          <w:rFonts w:eastAsia="Candara" w:cs="Candara"/>
          <w:spacing w:val="6"/>
        </w:rPr>
        <w:t xml:space="preserve"> </w:t>
      </w:r>
      <w:r w:rsidRPr="007223FB">
        <w:rPr>
          <w:rFonts w:eastAsia="Candara" w:cs="Candara"/>
          <w:spacing w:val="-2"/>
        </w:rPr>
        <w:t>a</w:t>
      </w:r>
      <w:r w:rsidRPr="007223FB">
        <w:rPr>
          <w:rFonts w:eastAsia="Candara" w:cs="Candara"/>
          <w:spacing w:val="1"/>
        </w:rPr>
        <w:t>cc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spacing w:val="-3"/>
        </w:rPr>
        <w:t>e</w:t>
      </w:r>
      <w:r w:rsidRPr="007223FB">
        <w:rPr>
          <w:rFonts w:eastAsia="Candara" w:cs="Candara"/>
        </w:rPr>
        <w:t>s</w:t>
      </w:r>
      <w:r w:rsidRPr="007223FB">
        <w:rPr>
          <w:rFonts w:eastAsia="Candara" w:cs="Candara"/>
          <w:spacing w:val="4"/>
        </w:rPr>
        <w:t xml:space="preserve"> </w:t>
      </w:r>
      <w:r w:rsidRPr="007223FB">
        <w:rPr>
          <w:rFonts w:eastAsia="Candara" w:cs="Candara"/>
        </w:rPr>
        <w:t>públi</w:t>
      </w:r>
      <w:r w:rsidRPr="007223FB">
        <w:rPr>
          <w:rFonts w:eastAsia="Candara" w:cs="Candara"/>
          <w:spacing w:val="1"/>
        </w:rPr>
        <w:t>c</w:t>
      </w:r>
      <w:r w:rsidRPr="007223FB">
        <w:rPr>
          <w:rFonts w:eastAsia="Candara" w:cs="Candara"/>
          <w:spacing w:val="-2"/>
        </w:rPr>
        <w:t>a</w:t>
      </w:r>
      <w:r w:rsidRPr="007223FB">
        <w:rPr>
          <w:rFonts w:eastAsia="Candara" w:cs="Candara"/>
        </w:rPr>
        <w:t>s</w:t>
      </w:r>
      <w:r w:rsidRPr="007223FB">
        <w:rPr>
          <w:rFonts w:eastAsia="Candara" w:cs="Candara"/>
          <w:spacing w:val="4"/>
        </w:rPr>
        <w:t xml:space="preserve"> </w:t>
      </w:r>
      <w:r w:rsidRPr="007223FB">
        <w:rPr>
          <w:rFonts w:eastAsia="Candara" w:cs="Candara"/>
        </w:rPr>
        <w:t>y</w:t>
      </w:r>
      <w:r w:rsidRPr="007223FB">
        <w:rPr>
          <w:rFonts w:eastAsia="Candara" w:cs="Candara"/>
          <w:spacing w:val="4"/>
        </w:rPr>
        <w:t xml:space="preserve"> </w:t>
      </w:r>
      <w:r w:rsidRPr="007223FB">
        <w:rPr>
          <w:rFonts w:eastAsia="Candara" w:cs="Candara"/>
        </w:rPr>
        <w:t>el</w:t>
      </w:r>
      <w:r w:rsidRPr="007223FB">
        <w:rPr>
          <w:rFonts w:eastAsia="Candara" w:cs="Candara"/>
          <w:spacing w:val="5"/>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upue</w:t>
      </w:r>
      <w:r w:rsidRPr="007223FB">
        <w:rPr>
          <w:rFonts w:eastAsia="Candara" w:cs="Candara"/>
          <w:spacing w:val="1"/>
        </w:rPr>
        <w:t>s</w:t>
      </w:r>
      <w:r w:rsidRPr="007223FB">
        <w:rPr>
          <w:rFonts w:eastAsia="Candara" w:cs="Candara"/>
        </w:rPr>
        <w:t>t</w:t>
      </w:r>
      <w:r w:rsidRPr="007223FB">
        <w:rPr>
          <w:rFonts w:eastAsia="Candara" w:cs="Candara"/>
          <w:spacing w:val="-1"/>
        </w:rPr>
        <w:t>o</w:t>
      </w:r>
      <w:r w:rsidRPr="007223FB">
        <w:rPr>
          <w:rFonts w:eastAsia="Candara" w:cs="Candara"/>
        </w:rPr>
        <w:t>;</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5"/>
        </w:rPr>
        <w:t xml:space="preserve"> </w:t>
      </w:r>
      <w:r w:rsidRPr="007223FB">
        <w:rPr>
          <w:rFonts w:eastAsia="Candara" w:cs="Candara"/>
        </w:rPr>
        <w:t>m</w:t>
      </w:r>
      <w:r w:rsidRPr="007223FB">
        <w:rPr>
          <w:rFonts w:eastAsia="Candara" w:cs="Candara"/>
          <w:spacing w:val="-2"/>
        </w:rPr>
        <w:t>an</w:t>
      </w:r>
      <w:r w:rsidRPr="007223FB">
        <w:rPr>
          <w:rFonts w:eastAsia="Candara" w:cs="Candara"/>
        </w:rPr>
        <w:t>e</w:t>
      </w:r>
      <w:r w:rsidRPr="007223FB">
        <w:rPr>
          <w:rFonts w:eastAsia="Candara" w:cs="Candara"/>
          <w:spacing w:val="1"/>
        </w:rPr>
        <w:t>r</w:t>
      </w:r>
      <w:r w:rsidRPr="007223FB">
        <w:rPr>
          <w:rFonts w:eastAsia="Candara" w:cs="Candara"/>
        </w:rPr>
        <w:t>a</w:t>
      </w:r>
      <w:r w:rsidRPr="007223FB">
        <w:rPr>
          <w:rFonts w:eastAsia="Candara" w:cs="Candara"/>
          <w:spacing w:val="5"/>
        </w:rPr>
        <w:t xml:space="preserve"> </w:t>
      </w:r>
      <w:r w:rsidRPr="007223FB">
        <w:rPr>
          <w:rFonts w:eastAsia="Candara" w:cs="Candara"/>
        </w:rPr>
        <w:t>que</w:t>
      </w:r>
      <w:r w:rsidRPr="007223FB">
        <w:rPr>
          <w:rFonts w:eastAsia="Candara" w:cs="Candara"/>
          <w:spacing w:val="1"/>
        </w:rPr>
        <w:t xml:space="preserve"> s</w:t>
      </w:r>
      <w:r w:rsidRPr="007223FB">
        <w:rPr>
          <w:rFonts w:eastAsia="Candara" w:cs="Candara"/>
        </w:rPr>
        <w:t>u</w:t>
      </w:r>
      <w:r w:rsidRPr="007223FB">
        <w:rPr>
          <w:rFonts w:eastAsia="Candara" w:cs="Candara"/>
          <w:spacing w:val="5"/>
        </w:rPr>
        <w:t xml:space="preserve"> </w:t>
      </w:r>
      <w:r w:rsidRPr="007223FB">
        <w:rPr>
          <w:rFonts w:eastAsia="Candara" w:cs="Candara"/>
          <w:spacing w:val="-1"/>
        </w:rPr>
        <w:t>o</w:t>
      </w:r>
      <w:r w:rsidRPr="007223FB">
        <w:rPr>
          <w:rFonts w:eastAsia="Candara" w:cs="Candara"/>
          <w:spacing w:val="-2"/>
        </w:rPr>
        <w:t>b</w:t>
      </w:r>
      <w:r w:rsidRPr="007223FB">
        <w:rPr>
          <w:rFonts w:eastAsia="Candara" w:cs="Candara"/>
          <w:spacing w:val="1"/>
        </w:rPr>
        <w:t>s</w:t>
      </w:r>
      <w:r w:rsidRPr="007223FB">
        <w:rPr>
          <w:rFonts w:eastAsia="Candara" w:cs="Candara"/>
        </w:rPr>
        <w:t>e</w:t>
      </w:r>
      <w:r w:rsidRPr="007223FB">
        <w:rPr>
          <w:rFonts w:eastAsia="Candara" w:cs="Candara"/>
          <w:spacing w:val="1"/>
        </w:rPr>
        <w:t>r</w:t>
      </w:r>
      <w:r w:rsidRPr="007223FB">
        <w:rPr>
          <w:rFonts w:eastAsia="Candara" w:cs="Candara"/>
        </w:rPr>
        <w:t>v</w:t>
      </w:r>
      <w:r w:rsidRPr="007223FB">
        <w:rPr>
          <w:rFonts w:eastAsia="Candara" w:cs="Candara"/>
          <w:spacing w:val="-2"/>
        </w:rPr>
        <w:t>a</w:t>
      </w:r>
      <w:r w:rsidRPr="007223FB">
        <w:rPr>
          <w:rFonts w:eastAsia="Candara" w:cs="Candara"/>
          <w:spacing w:val="1"/>
        </w:rPr>
        <w:t>nc</w:t>
      </w:r>
      <w:r w:rsidRPr="007223FB">
        <w:rPr>
          <w:rFonts w:eastAsia="Candara" w:cs="Candara"/>
        </w:rPr>
        <w:t>ia y</w:t>
      </w:r>
      <w:r w:rsidRPr="007223FB">
        <w:rPr>
          <w:rFonts w:eastAsia="Candara" w:cs="Candara"/>
          <w:spacing w:val="6"/>
        </w:rPr>
        <w:t xml:space="preserve"> </w:t>
      </w:r>
      <w:r w:rsidRPr="007223FB">
        <w:rPr>
          <w:rFonts w:eastAsia="Candara" w:cs="Candara"/>
        </w:rPr>
        <w:t>p</w:t>
      </w:r>
      <w:r w:rsidRPr="007223FB">
        <w:rPr>
          <w:rFonts w:eastAsia="Candara" w:cs="Candara"/>
          <w:spacing w:val="1"/>
        </w:rPr>
        <w:t>r</w:t>
      </w:r>
      <w:r w:rsidRPr="007223FB">
        <w:rPr>
          <w:rFonts w:eastAsia="Candara" w:cs="Candara"/>
        </w:rPr>
        <w:t>i</w:t>
      </w:r>
      <w:r w:rsidRPr="007223FB">
        <w:rPr>
          <w:rFonts w:eastAsia="Candara" w:cs="Candara"/>
          <w:spacing w:val="-3"/>
        </w:rPr>
        <w:t>o</w:t>
      </w:r>
      <w:r w:rsidRPr="007223FB">
        <w:rPr>
          <w:rFonts w:eastAsia="Candara" w:cs="Candara"/>
          <w:spacing w:val="1"/>
        </w:rPr>
        <w:t>r</w:t>
      </w:r>
      <w:r w:rsidRPr="007223FB">
        <w:rPr>
          <w:rFonts w:eastAsia="Candara" w:cs="Candara"/>
        </w:rPr>
        <w:t>i</w:t>
      </w:r>
      <w:r w:rsidRPr="007223FB">
        <w:rPr>
          <w:rFonts w:eastAsia="Candara" w:cs="Candara"/>
          <w:spacing w:val="1"/>
        </w:rPr>
        <w:t>z</w:t>
      </w:r>
      <w:r w:rsidRPr="007223FB">
        <w:rPr>
          <w:rFonts w:eastAsia="Candara" w:cs="Candara"/>
          <w:spacing w:val="-2"/>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4"/>
        </w:rPr>
        <w:t xml:space="preserve"> </w:t>
      </w:r>
      <w:r w:rsidRPr="007223FB">
        <w:rPr>
          <w:rFonts w:eastAsia="Candara" w:cs="Candara"/>
          <w:spacing w:val="1"/>
        </w:rPr>
        <w:t>s</w:t>
      </w:r>
      <w:r w:rsidRPr="007223FB">
        <w:rPr>
          <w:rFonts w:eastAsia="Candara" w:cs="Candara"/>
        </w:rPr>
        <w:t>e e</w:t>
      </w:r>
      <w:r w:rsidRPr="007223FB">
        <w:rPr>
          <w:rFonts w:eastAsia="Candara" w:cs="Candara"/>
          <w:spacing w:val="1"/>
        </w:rPr>
        <w:t>nc</w:t>
      </w:r>
      <w:r w:rsidRPr="007223FB">
        <w:rPr>
          <w:rFonts w:eastAsia="Candara" w:cs="Candara"/>
        </w:rPr>
        <w:t>ue</w:t>
      </w:r>
      <w:r w:rsidRPr="007223FB">
        <w:rPr>
          <w:rFonts w:eastAsia="Candara" w:cs="Candara"/>
          <w:spacing w:val="1"/>
        </w:rPr>
        <w:t>n</w:t>
      </w:r>
      <w:r w:rsidRPr="007223FB">
        <w:rPr>
          <w:rFonts w:eastAsia="Candara" w:cs="Candara"/>
          <w:spacing w:val="-2"/>
        </w:rPr>
        <w:t>t</w:t>
      </w:r>
      <w:r w:rsidRPr="007223FB">
        <w:rPr>
          <w:rFonts w:eastAsia="Candara" w:cs="Candara"/>
          <w:spacing w:val="1"/>
        </w:rPr>
        <w:t>r</w:t>
      </w:r>
      <w:r w:rsidRPr="007223FB">
        <w:rPr>
          <w:rFonts w:eastAsia="Candara" w:cs="Candara"/>
        </w:rPr>
        <w:t>an</w:t>
      </w:r>
      <w:r w:rsidRPr="007223FB">
        <w:rPr>
          <w:rFonts w:eastAsia="Candara" w:cs="Candara"/>
          <w:spacing w:val="1"/>
        </w:rPr>
        <w:t xml:space="preserve"> </w:t>
      </w:r>
      <w:r w:rsidRPr="007223FB">
        <w:rPr>
          <w:rFonts w:eastAsia="Candara" w:cs="Candara"/>
        </w:rPr>
        <w:t>v</w:t>
      </w:r>
      <w:r w:rsidRPr="007223FB">
        <w:rPr>
          <w:rFonts w:eastAsia="Candara" w:cs="Candara"/>
          <w:spacing w:val="-2"/>
        </w:rPr>
        <w:t>i</w:t>
      </w:r>
      <w:r w:rsidRPr="007223FB">
        <w:rPr>
          <w:rFonts w:eastAsia="Candara" w:cs="Candara"/>
          <w:spacing w:val="1"/>
        </w:rPr>
        <w:t>g</w:t>
      </w:r>
      <w:r w:rsidRPr="007223FB">
        <w:rPr>
          <w:rFonts w:eastAsia="Candara" w:cs="Candara"/>
        </w:rPr>
        <w:t>e</w:t>
      </w:r>
      <w:r w:rsidRPr="007223FB">
        <w:rPr>
          <w:rFonts w:eastAsia="Candara" w:cs="Candara"/>
          <w:spacing w:val="1"/>
        </w:rPr>
        <w:t>n</w:t>
      </w:r>
      <w:r w:rsidRPr="007223FB">
        <w:rPr>
          <w:rFonts w:eastAsia="Candara" w:cs="Candara"/>
        </w:rPr>
        <w:t>t</w:t>
      </w:r>
      <w:r w:rsidRPr="007223FB">
        <w:rPr>
          <w:rFonts w:eastAsia="Candara" w:cs="Candara"/>
          <w:spacing w:val="-3"/>
        </w:rPr>
        <w:t>e</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spacing w:val="-3"/>
        </w:rPr>
        <w:t>u</w:t>
      </w:r>
      <w:r w:rsidRPr="007223FB">
        <w:rPr>
          <w:rFonts w:eastAsia="Candara" w:cs="Candara"/>
          <w:spacing w:val="1"/>
        </w:rPr>
        <w:t>r</w:t>
      </w:r>
      <w:r w:rsidRPr="007223FB">
        <w:rPr>
          <w:rFonts w:eastAsia="Candara" w:cs="Candara"/>
          <w:spacing w:val="-2"/>
        </w:rPr>
        <w:t>a</w:t>
      </w:r>
      <w:r w:rsidRPr="007223FB">
        <w:rPr>
          <w:rFonts w:eastAsia="Candara" w:cs="Candara"/>
          <w:spacing w:val="1"/>
        </w:rPr>
        <w:t>n</w:t>
      </w:r>
      <w:r w:rsidRPr="007223FB">
        <w:rPr>
          <w:rFonts w:eastAsia="Candara" w:cs="Candara"/>
        </w:rPr>
        <w:t>te el 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e</w:t>
      </w:r>
      <w:r w:rsidRPr="007223FB">
        <w:rPr>
          <w:rFonts w:eastAsia="Candara" w:cs="Candara"/>
          <w:spacing w:val="1"/>
        </w:rPr>
        <w:t>n</w:t>
      </w:r>
      <w:r w:rsidRPr="007223FB">
        <w:rPr>
          <w:rFonts w:eastAsia="Candara" w:cs="Candara"/>
        </w:rPr>
        <w:t>te</w:t>
      </w:r>
      <w:r w:rsidRPr="007223FB">
        <w:rPr>
          <w:rFonts w:eastAsia="Candara" w:cs="Candara"/>
          <w:spacing w:val="-2"/>
        </w:rPr>
        <w:t xml:space="preserve"> </w:t>
      </w:r>
      <w:r w:rsidRPr="007223FB">
        <w:rPr>
          <w:rFonts w:eastAsia="Candara" w:cs="Candara"/>
          <w:spacing w:val="1"/>
        </w:rPr>
        <w:t>c</w:t>
      </w:r>
      <w:r w:rsidRPr="007223FB">
        <w:rPr>
          <w:rFonts w:eastAsia="Candara" w:cs="Candara"/>
        </w:rPr>
        <w:t>uat</w:t>
      </w:r>
      <w:r w:rsidRPr="007223FB">
        <w:rPr>
          <w:rFonts w:eastAsia="Candara" w:cs="Candara"/>
          <w:spacing w:val="1"/>
        </w:rPr>
        <w:t>r</w:t>
      </w:r>
      <w:r w:rsidRPr="007223FB">
        <w:rPr>
          <w:rFonts w:eastAsia="Candara" w:cs="Candara"/>
        </w:rPr>
        <w:t>i</w:t>
      </w:r>
      <w:r w:rsidRPr="007223FB">
        <w:rPr>
          <w:rFonts w:eastAsia="Candara" w:cs="Candara"/>
          <w:spacing w:val="-3"/>
        </w:rPr>
        <w:t>e</w:t>
      </w:r>
      <w:r w:rsidRPr="007223FB">
        <w:rPr>
          <w:rFonts w:eastAsia="Candara" w:cs="Candara"/>
          <w:spacing w:val="1"/>
        </w:rPr>
        <w:t>n</w:t>
      </w:r>
      <w:r w:rsidRPr="007223FB">
        <w:rPr>
          <w:rFonts w:eastAsia="Candara" w:cs="Candara"/>
        </w:rPr>
        <w:t>i</w:t>
      </w:r>
      <w:r w:rsidRPr="007223FB">
        <w:rPr>
          <w:rFonts w:eastAsia="Candara" w:cs="Candara"/>
          <w:spacing w:val="-1"/>
        </w:rPr>
        <w:t>o</w:t>
      </w:r>
      <w:r w:rsidRPr="007223FB">
        <w:rPr>
          <w:rFonts w:eastAsia="Candara" w:cs="Candara"/>
        </w:rPr>
        <w:t>.</w:t>
      </w:r>
    </w:p>
    <w:p w:rsidR="007D0929" w:rsidRPr="007223FB" w:rsidRDefault="007D0929" w:rsidP="006C13F5">
      <w:pPr>
        <w:spacing w:before="120" w:after="120" w:line="240" w:lineRule="auto"/>
        <w:ind w:right="58"/>
        <w:rPr>
          <w:rFonts w:eastAsia="Candara" w:cs="Candara"/>
        </w:rPr>
      </w:pPr>
      <w:r w:rsidRPr="007223FB">
        <w:rPr>
          <w:rFonts w:eastAsia="Candara" w:cs="Candara"/>
          <w:spacing w:val="1"/>
        </w:rPr>
        <w:t>C</w:t>
      </w:r>
      <w:r w:rsidRPr="007223FB">
        <w:rPr>
          <w:rFonts w:eastAsia="Candara" w:cs="Candara"/>
          <w:spacing w:val="-1"/>
        </w:rPr>
        <w:t>o</w:t>
      </w:r>
      <w:r w:rsidRPr="007223FB">
        <w:rPr>
          <w:rFonts w:eastAsia="Candara" w:cs="Candara"/>
        </w:rPr>
        <w:t>mo pa</w:t>
      </w:r>
      <w:r w:rsidRPr="007223FB">
        <w:rPr>
          <w:rFonts w:eastAsia="Candara" w:cs="Candara"/>
          <w:spacing w:val="1"/>
        </w:rPr>
        <w:t>r</w:t>
      </w:r>
      <w:r w:rsidRPr="007223FB">
        <w:rPr>
          <w:rFonts w:eastAsia="Candara" w:cs="Candara"/>
        </w:rPr>
        <w:t>te me</w:t>
      </w:r>
      <w:r w:rsidRPr="007223FB">
        <w:rPr>
          <w:rFonts w:eastAsia="Candara" w:cs="Candara"/>
          <w:spacing w:val="1"/>
        </w:rPr>
        <w:t>d</w:t>
      </w:r>
      <w:r w:rsidRPr="007223FB">
        <w:rPr>
          <w:rFonts w:eastAsia="Candara" w:cs="Candara"/>
        </w:rPr>
        <w:t>ul</w:t>
      </w:r>
      <w:r w:rsidRPr="007223FB">
        <w:rPr>
          <w:rFonts w:eastAsia="Candara" w:cs="Candara"/>
          <w:spacing w:val="-2"/>
        </w:rPr>
        <w:t>a</w:t>
      </w:r>
      <w:r w:rsidRPr="007223FB">
        <w:rPr>
          <w:rFonts w:eastAsia="Candara" w:cs="Candara"/>
        </w:rPr>
        <w:t>r</w:t>
      </w:r>
      <w:r w:rsidRPr="007223FB">
        <w:rPr>
          <w:rFonts w:eastAsia="Candara" w:cs="Candara"/>
          <w:spacing w:val="-1"/>
        </w:rPr>
        <w:t xml:space="preserve"> </w:t>
      </w:r>
      <w:r w:rsidRPr="007223FB">
        <w:rPr>
          <w:rFonts w:eastAsia="Candara" w:cs="Candara"/>
          <w:spacing w:val="1"/>
        </w:rPr>
        <w:t>d</w:t>
      </w:r>
      <w:r w:rsidRPr="007223FB">
        <w:rPr>
          <w:rFonts w:eastAsia="Candara" w:cs="Candara"/>
        </w:rPr>
        <w:t>e e</w:t>
      </w:r>
      <w:r w:rsidRPr="007223FB">
        <w:rPr>
          <w:rFonts w:eastAsia="Candara" w:cs="Candara"/>
          <w:spacing w:val="-1"/>
        </w:rPr>
        <w:t>s</w:t>
      </w:r>
      <w:r w:rsidRPr="007223FB">
        <w:rPr>
          <w:rFonts w:eastAsia="Candara" w:cs="Candara"/>
        </w:rPr>
        <w:t>te i</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 xml:space="preserve">me </w:t>
      </w:r>
      <w:r w:rsidRPr="007223FB">
        <w:rPr>
          <w:rFonts w:eastAsia="Candara" w:cs="Candara"/>
          <w:spacing w:val="1"/>
        </w:rPr>
        <w:t>s</w:t>
      </w:r>
      <w:r w:rsidRPr="007223FB">
        <w:rPr>
          <w:rFonts w:eastAsia="Candara" w:cs="Candara"/>
        </w:rPr>
        <w:t>e</w:t>
      </w:r>
      <w:r w:rsidRPr="007223FB">
        <w:rPr>
          <w:rFonts w:eastAsia="Candara" w:cs="Candara"/>
          <w:spacing w:val="-2"/>
        </w:rPr>
        <w:t xml:space="preserve"> </w:t>
      </w:r>
      <w:r w:rsidRPr="007223FB">
        <w:rPr>
          <w:rFonts w:eastAsia="Candara" w:cs="Candara"/>
        </w:rPr>
        <w:t>i</w:t>
      </w:r>
      <w:r w:rsidRPr="007223FB">
        <w:rPr>
          <w:rFonts w:eastAsia="Candara" w:cs="Candara"/>
          <w:spacing w:val="1"/>
        </w:rPr>
        <w:t>nc</w:t>
      </w:r>
      <w:r w:rsidRPr="007223FB">
        <w:rPr>
          <w:rFonts w:eastAsia="Candara" w:cs="Candara"/>
        </w:rPr>
        <w:t>l</w:t>
      </w:r>
      <w:r w:rsidRPr="007223FB">
        <w:rPr>
          <w:rFonts w:eastAsia="Candara" w:cs="Candara"/>
          <w:spacing w:val="-3"/>
        </w:rPr>
        <w:t>u</w:t>
      </w:r>
      <w:r w:rsidRPr="007223FB">
        <w:rPr>
          <w:rFonts w:eastAsia="Candara" w:cs="Candara"/>
          <w:spacing w:val="1"/>
        </w:rPr>
        <w:t>y</w:t>
      </w:r>
      <w:r w:rsidRPr="007223FB">
        <w:rPr>
          <w:rFonts w:eastAsia="Candara" w:cs="Candara"/>
        </w:rPr>
        <w:t>en</w:t>
      </w:r>
      <w:r w:rsidRPr="007223FB">
        <w:rPr>
          <w:rFonts w:eastAsia="Candara" w:cs="Candara"/>
          <w:spacing w:val="1"/>
        </w:rPr>
        <w:t xml:space="preserve"> </w:t>
      </w:r>
      <w:r w:rsidRPr="007223FB">
        <w:rPr>
          <w:rFonts w:eastAsia="Candara" w:cs="Candara"/>
        </w:rPr>
        <w:t>l</w:t>
      </w:r>
      <w:r w:rsidRPr="007223FB">
        <w:rPr>
          <w:rFonts w:eastAsia="Candara" w:cs="Candara"/>
          <w:spacing w:val="-3"/>
        </w:rPr>
        <w:t>o</w:t>
      </w:r>
      <w:r w:rsidRPr="007223FB">
        <w:rPr>
          <w:rFonts w:eastAsia="Candara" w:cs="Candara"/>
        </w:rPr>
        <w:t>s</w:t>
      </w:r>
      <w:r w:rsidRPr="007223FB">
        <w:rPr>
          <w:rFonts w:eastAsia="Candara" w:cs="Candara"/>
          <w:spacing w:val="-1"/>
        </w:rPr>
        <w:t xml:space="preserve"> </w:t>
      </w:r>
      <w:r w:rsidRPr="007223FB">
        <w:rPr>
          <w:rFonts w:eastAsia="Candara" w:cs="Candara"/>
          <w:spacing w:val="1"/>
        </w:rPr>
        <w:t>c</w:t>
      </w:r>
      <w:r w:rsidRPr="007223FB">
        <w:rPr>
          <w:rFonts w:eastAsia="Candara" w:cs="Candara"/>
          <w:spacing w:val="-2"/>
        </w:rPr>
        <w:t>u</w:t>
      </w:r>
      <w:r w:rsidRPr="007223FB">
        <w:rPr>
          <w:rFonts w:eastAsia="Candara" w:cs="Candara"/>
        </w:rPr>
        <w:t>a</w:t>
      </w:r>
      <w:r w:rsidRPr="007223FB">
        <w:rPr>
          <w:rFonts w:eastAsia="Candara" w:cs="Candara"/>
          <w:spacing w:val="-1"/>
        </w:rPr>
        <w:t>d</w:t>
      </w:r>
      <w:r w:rsidRPr="007223FB">
        <w:rPr>
          <w:rFonts w:eastAsia="Candara" w:cs="Candara"/>
          <w:spacing w:val="1"/>
        </w:rPr>
        <w:t>r</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spacing w:val="1"/>
        </w:rPr>
        <w:t>d</w:t>
      </w:r>
      <w:r w:rsidRPr="007223FB">
        <w:rPr>
          <w:rFonts w:eastAsia="Candara" w:cs="Candara"/>
        </w:rPr>
        <w:t>e ava</w:t>
      </w:r>
      <w:r w:rsidRPr="007223FB">
        <w:rPr>
          <w:rFonts w:eastAsia="Candara" w:cs="Candara"/>
          <w:spacing w:val="-2"/>
        </w:rPr>
        <w:t>n</w:t>
      </w:r>
      <w:r w:rsidRPr="007223FB">
        <w:rPr>
          <w:rFonts w:eastAsia="Candara" w:cs="Candara"/>
          <w:spacing w:val="1"/>
        </w:rPr>
        <w:t>c</w:t>
      </w:r>
      <w:r w:rsidRPr="007223FB">
        <w:rPr>
          <w:rFonts w:eastAsia="Candara" w:cs="Candara"/>
        </w:rPr>
        <w:t>e en</w:t>
      </w:r>
      <w:r w:rsidRPr="007223FB">
        <w:rPr>
          <w:rFonts w:eastAsia="Candara" w:cs="Candara"/>
          <w:spacing w:val="1"/>
        </w:rPr>
        <w:t xml:space="preserve"> </w:t>
      </w:r>
      <w:r w:rsidRPr="007223FB">
        <w:rPr>
          <w:rFonts w:eastAsia="Candara" w:cs="Candara"/>
        </w:rPr>
        <w:t>la</w:t>
      </w:r>
      <w:r w:rsidRPr="007223FB">
        <w:rPr>
          <w:rFonts w:eastAsia="Candara" w:cs="Candara"/>
          <w:spacing w:val="-2"/>
        </w:rPr>
        <w:t xml:space="preserve"> </w:t>
      </w:r>
      <w:r w:rsidRPr="007223FB">
        <w:rPr>
          <w:rFonts w:eastAsia="Candara" w:cs="Candara"/>
          <w:spacing w:val="-1"/>
        </w:rPr>
        <w:t>co</w:t>
      </w:r>
      <w:r w:rsidRPr="007223FB">
        <w:rPr>
          <w:rFonts w:eastAsia="Candara" w:cs="Candara"/>
          <w:spacing w:val="1"/>
        </w:rPr>
        <w:t>ns</w:t>
      </w:r>
      <w:r w:rsidRPr="007223FB">
        <w:rPr>
          <w:rFonts w:eastAsia="Candara" w:cs="Candara"/>
        </w:rPr>
        <w:t>e</w:t>
      </w:r>
      <w:r w:rsidRPr="007223FB">
        <w:rPr>
          <w:rFonts w:eastAsia="Candara" w:cs="Candara"/>
          <w:spacing w:val="1"/>
        </w:rPr>
        <w:t>c</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spacing w:val="1"/>
        </w:rPr>
        <w:t>d</w:t>
      </w:r>
      <w:r w:rsidRPr="007223FB">
        <w:rPr>
          <w:rFonts w:eastAsia="Candara" w:cs="Candara"/>
        </w:rPr>
        <w:t>e l</w:t>
      </w:r>
      <w:r w:rsidRPr="007223FB">
        <w:rPr>
          <w:rFonts w:eastAsia="Candara" w:cs="Candara"/>
          <w:spacing w:val="-2"/>
        </w:rPr>
        <w:t>a</w:t>
      </w:r>
      <w:r w:rsidRPr="007223FB">
        <w:rPr>
          <w:rFonts w:eastAsia="Candara" w:cs="Candara"/>
        </w:rPr>
        <w:t>s metas</w:t>
      </w:r>
      <w:r w:rsidRPr="007223FB">
        <w:rPr>
          <w:rFonts w:eastAsia="Candara" w:cs="Candara"/>
          <w:spacing w:val="4"/>
        </w:rPr>
        <w:t xml:space="preserve"> </w:t>
      </w:r>
      <w:r w:rsidRPr="007223FB">
        <w:rPr>
          <w:rFonts w:eastAsia="Candara" w:cs="Candara"/>
          <w:spacing w:val="1"/>
        </w:rPr>
        <w:t>d</w:t>
      </w:r>
      <w:r w:rsidRPr="007223FB">
        <w:rPr>
          <w:rFonts w:eastAsia="Candara" w:cs="Candara"/>
        </w:rPr>
        <w:t xml:space="preserve">el </w:t>
      </w:r>
      <w:r w:rsidRPr="007223FB">
        <w:rPr>
          <w:rFonts w:eastAsia="Candara" w:cs="Candara"/>
          <w:spacing w:val="1"/>
        </w:rPr>
        <w:t>c</w:t>
      </w:r>
      <w:r w:rsidRPr="007223FB">
        <w:rPr>
          <w:rFonts w:eastAsia="Candara" w:cs="Candara"/>
        </w:rPr>
        <w:t>uat</w:t>
      </w:r>
      <w:r w:rsidRPr="007223FB">
        <w:rPr>
          <w:rFonts w:eastAsia="Candara" w:cs="Candara"/>
          <w:spacing w:val="1"/>
        </w:rPr>
        <w:t>r</w:t>
      </w:r>
      <w:r w:rsidRPr="007223FB">
        <w:rPr>
          <w:rFonts w:eastAsia="Candara" w:cs="Candara"/>
        </w:rPr>
        <w:t>im</w:t>
      </w:r>
      <w:r w:rsidRPr="007223FB">
        <w:rPr>
          <w:rFonts w:eastAsia="Candara" w:cs="Candara"/>
          <w:spacing w:val="-3"/>
        </w:rPr>
        <w:t>e</w:t>
      </w:r>
      <w:r w:rsidRPr="007223FB">
        <w:rPr>
          <w:rFonts w:eastAsia="Candara" w:cs="Candara"/>
          <w:spacing w:val="1"/>
        </w:rPr>
        <w:t>s</w:t>
      </w:r>
      <w:r w:rsidRPr="007223FB">
        <w:rPr>
          <w:rFonts w:eastAsia="Candara" w:cs="Candara"/>
        </w:rPr>
        <w:t>t</w:t>
      </w:r>
      <w:r w:rsidRPr="007223FB">
        <w:rPr>
          <w:rFonts w:eastAsia="Candara" w:cs="Candara"/>
          <w:spacing w:val="1"/>
        </w:rPr>
        <w:t>r</w:t>
      </w:r>
      <w:r w:rsidRPr="007223FB">
        <w:rPr>
          <w:rFonts w:eastAsia="Candara" w:cs="Candara"/>
        </w:rPr>
        <w:t>e</w:t>
      </w:r>
      <w:r w:rsidRPr="007223FB">
        <w:rPr>
          <w:rFonts w:eastAsia="Candara" w:cs="Candara"/>
          <w:spacing w:val="2"/>
        </w:rPr>
        <w:t xml:space="preserve"> </w:t>
      </w:r>
      <w:r w:rsidRPr="007223FB">
        <w:rPr>
          <w:rFonts w:eastAsia="Candara" w:cs="Candara"/>
          <w:spacing w:val="-2"/>
        </w:rPr>
        <w:t>a</w:t>
      </w:r>
      <w:r w:rsidRPr="007223FB">
        <w:rPr>
          <w:rFonts w:eastAsia="Candara" w:cs="Candara"/>
          <w:spacing w:val="1"/>
        </w:rPr>
        <w:t>n</w:t>
      </w:r>
      <w:r w:rsidRPr="007223FB">
        <w:rPr>
          <w:rFonts w:eastAsia="Candara" w:cs="Candara"/>
        </w:rPr>
        <w:t>ali</w:t>
      </w:r>
      <w:r w:rsidRPr="007223FB">
        <w:rPr>
          <w:rFonts w:eastAsia="Candara" w:cs="Candara"/>
          <w:spacing w:val="1"/>
        </w:rPr>
        <w:t>z</w:t>
      </w:r>
      <w:r w:rsidRPr="007223FB">
        <w:rPr>
          <w:rFonts w:eastAsia="Candara" w:cs="Candara"/>
        </w:rPr>
        <w:t>a</w:t>
      </w:r>
      <w:r w:rsidRPr="007223FB">
        <w:rPr>
          <w:rFonts w:eastAsia="Candara" w:cs="Candara"/>
          <w:spacing w:val="1"/>
        </w:rPr>
        <w:t>d</w:t>
      </w:r>
      <w:r w:rsidRPr="007223FB">
        <w:rPr>
          <w:rFonts w:eastAsia="Candara" w:cs="Candara"/>
          <w:spacing w:val="-1"/>
        </w:rPr>
        <w:t>o</w:t>
      </w:r>
      <w:r w:rsidRPr="007223FB">
        <w:rPr>
          <w:rFonts w:eastAsia="Candara" w:cs="Candara"/>
        </w:rPr>
        <w:t>;</w:t>
      </w:r>
      <w:r w:rsidRPr="007223FB">
        <w:rPr>
          <w:rFonts w:eastAsia="Candara" w:cs="Candara"/>
          <w:spacing w:val="2"/>
        </w:rPr>
        <w:t xml:space="preserve"> </w:t>
      </w:r>
      <w:r w:rsidRPr="007223FB">
        <w:rPr>
          <w:rFonts w:eastAsia="Candara" w:cs="Candara"/>
        </w:rPr>
        <w:t>p</w:t>
      </w:r>
      <w:r w:rsidRPr="007223FB">
        <w:rPr>
          <w:rFonts w:eastAsia="Candara" w:cs="Candara"/>
          <w:spacing w:val="-2"/>
        </w:rPr>
        <w:t>a</w:t>
      </w:r>
      <w:r w:rsidRPr="007223FB">
        <w:rPr>
          <w:rFonts w:eastAsia="Candara" w:cs="Candara"/>
          <w:spacing w:val="1"/>
        </w:rPr>
        <w:t>r</w:t>
      </w:r>
      <w:r w:rsidRPr="007223FB">
        <w:rPr>
          <w:rFonts w:eastAsia="Candara" w:cs="Candara"/>
        </w:rPr>
        <w:t>ti</w:t>
      </w:r>
      <w:r w:rsidRPr="007223FB">
        <w:rPr>
          <w:rFonts w:eastAsia="Candara" w:cs="Candara"/>
          <w:spacing w:val="1"/>
        </w:rPr>
        <w:t>c</w:t>
      </w:r>
      <w:r w:rsidRPr="007223FB">
        <w:rPr>
          <w:rFonts w:eastAsia="Candara" w:cs="Candara"/>
        </w:rPr>
        <w:t>ul</w:t>
      </w:r>
      <w:r w:rsidRPr="007223FB">
        <w:rPr>
          <w:rFonts w:eastAsia="Candara" w:cs="Candara"/>
          <w:spacing w:val="-2"/>
        </w:rPr>
        <w:t>a</w:t>
      </w:r>
      <w:r w:rsidRPr="007223FB">
        <w:rPr>
          <w:rFonts w:eastAsia="Candara" w:cs="Candara"/>
          <w:spacing w:val="1"/>
        </w:rPr>
        <w:t>r</w:t>
      </w:r>
      <w:r w:rsidRPr="007223FB">
        <w:rPr>
          <w:rFonts w:eastAsia="Candara" w:cs="Candara"/>
        </w:rPr>
        <w:t>me</w:t>
      </w:r>
      <w:r w:rsidRPr="007223FB">
        <w:rPr>
          <w:rFonts w:eastAsia="Candara" w:cs="Candara"/>
          <w:spacing w:val="1"/>
        </w:rPr>
        <w:t>n</w:t>
      </w:r>
      <w:r w:rsidRPr="007223FB">
        <w:rPr>
          <w:rFonts w:eastAsia="Candara" w:cs="Candara"/>
        </w:rPr>
        <w:t xml:space="preserve">te </w:t>
      </w:r>
      <w:r w:rsidRPr="007223FB">
        <w:rPr>
          <w:rFonts w:eastAsia="Candara" w:cs="Candara"/>
          <w:spacing w:val="1"/>
        </w:rPr>
        <w:t>s</w:t>
      </w:r>
      <w:r w:rsidRPr="007223FB">
        <w:rPr>
          <w:rFonts w:eastAsia="Candara" w:cs="Candara"/>
        </w:rPr>
        <w:t>e</w:t>
      </w:r>
      <w:r w:rsidRPr="007223FB">
        <w:rPr>
          <w:rFonts w:eastAsia="Candara" w:cs="Candara"/>
          <w:spacing w:val="2"/>
        </w:rPr>
        <w:t xml:space="preserve"> </w:t>
      </w:r>
      <w:r w:rsidRPr="007223FB">
        <w:rPr>
          <w:rFonts w:eastAsia="Candara" w:cs="Candara"/>
        </w:rPr>
        <w:t>c</w:t>
      </w:r>
      <w:r w:rsidRPr="007223FB">
        <w:rPr>
          <w:rFonts w:eastAsia="Candara" w:cs="Candara"/>
          <w:spacing w:val="-3"/>
        </w:rPr>
        <w:t>e</w:t>
      </w:r>
      <w:r w:rsidRPr="007223FB">
        <w:rPr>
          <w:rFonts w:eastAsia="Candara" w:cs="Candara"/>
          <w:spacing w:val="1"/>
        </w:rPr>
        <w:t>n</w:t>
      </w:r>
      <w:r w:rsidRPr="007223FB">
        <w:rPr>
          <w:rFonts w:eastAsia="Candara" w:cs="Candara"/>
        </w:rPr>
        <w:t>t</w:t>
      </w:r>
      <w:r w:rsidRPr="007223FB">
        <w:rPr>
          <w:rFonts w:eastAsia="Candara" w:cs="Candara"/>
          <w:spacing w:val="1"/>
        </w:rPr>
        <w:t>r</w:t>
      </w:r>
      <w:r w:rsidRPr="007223FB">
        <w:rPr>
          <w:rFonts w:eastAsia="Candara" w:cs="Candara"/>
        </w:rPr>
        <w:t>a</w:t>
      </w:r>
      <w:r w:rsidRPr="007223FB">
        <w:rPr>
          <w:rFonts w:eastAsia="Candara" w:cs="Candara"/>
          <w:spacing w:val="2"/>
        </w:rPr>
        <w:t xml:space="preserve"> </w:t>
      </w:r>
      <w:r w:rsidRPr="007223FB">
        <w:rPr>
          <w:rFonts w:eastAsia="Candara" w:cs="Candara"/>
        </w:rPr>
        <w:t>en</w:t>
      </w:r>
      <w:r w:rsidRPr="007223FB">
        <w:rPr>
          <w:rFonts w:eastAsia="Candara" w:cs="Candara"/>
          <w:spacing w:val="1"/>
        </w:rPr>
        <w:t xml:space="preserve"> </w:t>
      </w:r>
      <w:r w:rsidRPr="007223FB">
        <w:rPr>
          <w:rFonts w:eastAsia="Candara" w:cs="Candara"/>
        </w:rPr>
        <w:t>b</w:t>
      </w:r>
      <w:r w:rsidRPr="007223FB">
        <w:rPr>
          <w:rFonts w:eastAsia="Candara" w:cs="Candara"/>
          <w:spacing w:val="1"/>
        </w:rPr>
        <w:t>r</w:t>
      </w:r>
      <w:r w:rsidRPr="007223FB">
        <w:rPr>
          <w:rFonts w:eastAsia="Candara" w:cs="Candara"/>
        </w:rPr>
        <w:t>i</w:t>
      </w:r>
      <w:r w:rsidRPr="007223FB">
        <w:rPr>
          <w:rFonts w:eastAsia="Candara" w:cs="Candara"/>
          <w:spacing w:val="-2"/>
        </w:rPr>
        <w:t>n</w:t>
      </w:r>
      <w:r w:rsidRPr="007223FB">
        <w:rPr>
          <w:rFonts w:eastAsia="Candara" w:cs="Candara"/>
          <w:spacing w:val="1"/>
        </w:rPr>
        <w:t>d</w:t>
      </w:r>
      <w:r w:rsidRPr="007223FB">
        <w:rPr>
          <w:rFonts w:eastAsia="Candara" w:cs="Candara"/>
          <w:spacing w:val="-2"/>
        </w:rPr>
        <w:t>a</w:t>
      </w:r>
      <w:r w:rsidRPr="007223FB">
        <w:rPr>
          <w:rFonts w:eastAsia="Candara" w:cs="Candara"/>
        </w:rPr>
        <w:t>r</w:t>
      </w:r>
      <w:r w:rsidRPr="007223FB">
        <w:rPr>
          <w:rFonts w:eastAsia="Candara" w:cs="Candara"/>
          <w:spacing w:val="3"/>
        </w:rPr>
        <w:t xml:space="preserve"> </w:t>
      </w:r>
      <w:r w:rsidRPr="007223FB">
        <w:rPr>
          <w:rFonts w:eastAsia="Candara" w:cs="Candara"/>
        </w:rPr>
        <w:t>i</w:t>
      </w:r>
      <w:r w:rsidRPr="007223FB">
        <w:rPr>
          <w:rFonts w:eastAsia="Candara" w:cs="Candara"/>
          <w:spacing w:val="1"/>
        </w:rPr>
        <w:t>n</w:t>
      </w:r>
      <w:r w:rsidRPr="007223FB">
        <w:rPr>
          <w:rFonts w:eastAsia="Candara" w:cs="Candara"/>
          <w:spacing w:val="-3"/>
        </w:rPr>
        <w:t>f</w:t>
      </w:r>
      <w:r w:rsidRPr="007223FB">
        <w:rPr>
          <w:rFonts w:eastAsia="Candara" w:cs="Candara"/>
          <w:spacing w:val="-1"/>
        </w:rPr>
        <w:t>o</w:t>
      </w:r>
      <w:r w:rsidRPr="007223FB">
        <w:rPr>
          <w:rFonts w:eastAsia="Candara" w:cs="Candara"/>
          <w:spacing w:val="1"/>
        </w:rPr>
        <w:t>r</w:t>
      </w:r>
      <w:r w:rsidRPr="007223FB">
        <w:rPr>
          <w:rFonts w:eastAsia="Candara" w:cs="Candara"/>
        </w:rPr>
        <w:t>ma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s</w:t>
      </w:r>
      <w:r w:rsidRPr="007223FB">
        <w:rPr>
          <w:rFonts w:eastAsia="Candara" w:cs="Candara"/>
          <w:spacing w:val="-1"/>
        </w:rPr>
        <w:t>o</w:t>
      </w:r>
      <w:r w:rsidRPr="007223FB">
        <w:rPr>
          <w:rFonts w:eastAsia="Candara" w:cs="Candara"/>
        </w:rPr>
        <w:t>b</w:t>
      </w:r>
      <w:r w:rsidRPr="007223FB">
        <w:rPr>
          <w:rFonts w:eastAsia="Candara" w:cs="Candara"/>
          <w:spacing w:val="-1"/>
        </w:rPr>
        <w:t>r</w:t>
      </w:r>
      <w:r w:rsidRPr="007223FB">
        <w:rPr>
          <w:rFonts w:eastAsia="Candara" w:cs="Candara"/>
        </w:rPr>
        <w:t>e eleme</w:t>
      </w:r>
      <w:r w:rsidRPr="007223FB">
        <w:rPr>
          <w:rFonts w:eastAsia="Candara" w:cs="Candara"/>
          <w:spacing w:val="1"/>
        </w:rPr>
        <w:t>n</w:t>
      </w:r>
      <w:r w:rsidRPr="007223FB">
        <w:rPr>
          <w:rFonts w:eastAsia="Candara" w:cs="Candara"/>
        </w:rPr>
        <w:t>t</w:t>
      </w:r>
      <w:r w:rsidRPr="007223FB">
        <w:rPr>
          <w:rFonts w:eastAsia="Candara" w:cs="Candara"/>
          <w:spacing w:val="-1"/>
        </w:rPr>
        <w:t>o</w:t>
      </w:r>
      <w:r w:rsidRPr="007223FB">
        <w:rPr>
          <w:rFonts w:eastAsia="Candara" w:cs="Candara"/>
          <w:spacing w:val="1"/>
        </w:rPr>
        <w:t>s</w:t>
      </w:r>
      <w:r w:rsidRPr="007223FB">
        <w:rPr>
          <w:rFonts w:eastAsia="Candara" w:cs="Candara"/>
        </w:rPr>
        <w:t>,</w:t>
      </w:r>
      <w:r w:rsidRPr="007223FB">
        <w:rPr>
          <w:rFonts w:eastAsia="Candara" w:cs="Candara"/>
          <w:spacing w:val="2"/>
        </w:rPr>
        <w:t xml:space="preserve"> </w:t>
      </w:r>
      <w:r w:rsidRPr="007223FB">
        <w:rPr>
          <w:rFonts w:eastAsia="Candara" w:cs="Candara"/>
        </w:rPr>
        <w:t>a</w:t>
      </w:r>
      <w:r w:rsidRPr="007223FB">
        <w:rPr>
          <w:rFonts w:eastAsia="Candara" w:cs="Candara"/>
          <w:spacing w:val="-1"/>
        </w:rPr>
        <w:t>c</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spacing w:val="-3"/>
        </w:rPr>
        <w:t>e</w:t>
      </w:r>
      <w:r w:rsidRPr="007223FB">
        <w:rPr>
          <w:rFonts w:eastAsia="Candara" w:cs="Candara"/>
        </w:rPr>
        <w:t>s</w:t>
      </w:r>
      <w:r w:rsidRPr="007223FB">
        <w:rPr>
          <w:rFonts w:eastAsia="Candara" w:cs="Candara"/>
          <w:spacing w:val="4"/>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e</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ate</w:t>
      </w:r>
      <w:r w:rsidRPr="007223FB">
        <w:rPr>
          <w:rFonts w:eastAsia="Candara" w:cs="Candara"/>
          <w:spacing w:val="1"/>
        </w:rPr>
        <w:t>g</w:t>
      </w:r>
      <w:r w:rsidRPr="007223FB">
        <w:rPr>
          <w:rFonts w:eastAsia="Candara" w:cs="Candara"/>
        </w:rPr>
        <w:t>i</w:t>
      </w:r>
      <w:r w:rsidRPr="007223FB">
        <w:rPr>
          <w:rFonts w:eastAsia="Candara" w:cs="Candara"/>
          <w:spacing w:val="-2"/>
        </w:rPr>
        <w:t>a</w:t>
      </w:r>
      <w:r w:rsidRPr="007223FB">
        <w:rPr>
          <w:rFonts w:eastAsia="Candara" w:cs="Candara"/>
        </w:rPr>
        <w:t>s</w:t>
      </w:r>
      <w:r w:rsidRPr="007223FB">
        <w:rPr>
          <w:rFonts w:eastAsia="Candara" w:cs="Candara"/>
          <w:spacing w:val="4"/>
        </w:rPr>
        <w:t xml:space="preserve"> </w:t>
      </w:r>
      <w:r w:rsidRPr="007223FB">
        <w:rPr>
          <w:rFonts w:eastAsia="Candara" w:cs="Candara"/>
        </w:rPr>
        <w:t>que</w:t>
      </w:r>
      <w:r w:rsidRPr="007223FB">
        <w:rPr>
          <w:rFonts w:eastAsia="Candara" w:cs="Candara"/>
          <w:spacing w:val="2"/>
        </w:rPr>
        <w:t xml:space="preserve"> </w:t>
      </w:r>
      <w:r w:rsidRPr="007223FB">
        <w:rPr>
          <w:rFonts w:eastAsia="Candara" w:cs="Candara"/>
        </w:rPr>
        <w:t>l</w:t>
      </w:r>
      <w:r w:rsidRPr="007223FB">
        <w:rPr>
          <w:rFonts w:eastAsia="Candara" w:cs="Candara"/>
          <w:spacing w:val="-2"/>
        </w:rPr>
        <w:t>a</w:t>
      </w:r>
      <w:r w:rsidRPr="007223FB">
        <w:rPr>
          <w:rFonts w:eastAsia="Candara" w:cs="Candara"/>
        </w:rPr>
        <w:t>s</w:t>
      </w:r>
      <w:r w:rsidRPr="007223FB">
        <w:rPr>
          <w:rFonts w:eastAsia="Candara" w:cs="Candara"/>
          <w:spacing w:val="4"/>
        </w:rPr>
        <w:t xml:space="preserve"> </w:t>
      </w:r>
      <w:r w:rsidRPr="007223FB">
        <w:rPr>
          <w:rFonts w:eastAsia="Candara" w:cs="Candara"/>
        </w:rPr>
        <w:t>i</w:t>
      </w:r>
      <w:r w:rsidRPr="007223FB">
        <w:rPr>
          <w:rFonts w:eastAsia="Candara" w:cs="Candara"/>
          <w:spacing w:val="-2"/>
        </w:rPr>
        <w:t>n</w:t>
      </w:r>
      <w:r w:rsidRPr="007223FB">
        <w:rPr>
          <w:rFonts w:eastAsia="Candara" w:cs="Candara"/>
          <w:spacing w:val="1"/>
        </w:rPr>
        <w:t>s</w:t>
      </w:r>
      <w:r w:rsidRPr="007223FB">
        <w:rPr>
          <w:rFonts w:eastAsia="Candara" w:cs="Candara"/>
        </w:rPr>
        <w:t>tit</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3"/>
        </w:rPr>
        <w:t>o</w:t>
      </w:r>
      <w:r w:rsidRPr="007223FB">
        <w:rPr>
          <w:rFonts w:eastAsia="Candara" w:cs="Candara"/>
          <w:spacing w:val="1"/>
        </w:rPr>
        <w:t>n</w:t>
      </w:r>
      <w:r w:rsidRPr="007223FB">
        <w:rPr>
          <w:rFonts w:eastAsia="Candara" w:cs="Candara"/>
        </w:rPr>
        <w:t>es</w:t>
      </w:r>
      <w:r w:rsidRPr="007223FB">
        <w:rPr>
          <w:rFonts w:eastAsia="Candara" w:cs="Candara"/>
          <w:spacing w:val="2"/>
        </w:rPr>
        <w:t xml:space="preserve"> </w:t>
      </w:r>
      <w:r w:rsidRPr="007223FB">
        <w:rPr>
          <w:rFonts w:eastAsia="Candara" w:cs="Candara"/>
        </w:rPr>
        <w:t>p</w:t>
      </w:r>
      <w:r w:rsidRPr="007223FB">
        <w:rPr>
          <w:rFonts w:eastAsia="Candara" w:cs="Candara"/>
          <w:spacing w:val="-1"/>
        </w:rPr>
        <w:t>o</w:t>
      </w:r>
      <w:r w:rsidRPr="007223FB">
        <w:rPr>
          <w:rFonts w:eastAsia="Candara" w:cs="Candara"/>
          <w:spacing w:val="1"/>
        </w:rPr>
        <w:t>n</w:t>
      </w:r>
      <w:r w:rsidRPr="007223FB">
        <w:rPr>
          <w:rFonts w:eastAsia="Candara" w:cs="Candara"/>
          <w:spacing w:val="-3"/>
        </w:rPr>
        <w:t>e</w:t>
      </w:r>
      <w:r w:rsidRPr="007223FB">
        <w:rPr>
          <w:rFonts w:eastAsia="Candara" w:cs="Candara"/>
        </w:rPr>
        <w:t>n</w:t>
      </w:r>
      <w:r w:rsidRPr="007223FB">
        <w:rPr>
          <w:rFonts w:eastAsia="Candara" w:cs="Candara"/>
          <w:spacing w:val="3"/>
        </w:rPr>
        <w:t xml:space="preserve"> </w:t>
      </w:r>
      <w:r w:rsidRPr="007223FB">
        <w:rPr>
          <w:rFonts w:eastAsia="Candara" w:cs="Candara"/>
        </w:rPr>
        <w:t>en</w:t>
      </w:r>
      <w:r w:rsidRPr="007223FB">
        <w:rPr>
          <w:rFonts w:eastAsia="Candara" w:cs="Candara"/>
          <w:spacing w:val="1"/>
        </w:rPr>
        <w:t xml:space="preserve"> </w:t>
      </w:r>
      <w:r w:rsidRPr="007223FB">
        <w:rPr>
          <w:rFonts w:eastAsia="Candara" w:cs="Candara"/>
        </w:rPr>
        <w:t>ma</w:t>
      </w:r>
      <w:r w:rsidRPr="007223FB">
        <w:rPr>
          <w:rFonts w:eastAsia="Candara" w:cs="Candara"/>
          <w:spacing w:val="-1"/>
        </w:rPr>
        <w:t>r</w:t>
      </w:r>
      <w:r w:rsidRPr="007223FB">
        <w:rPr>
          <w:rFonts w:eastAsia="Candara" w:cs="Candara"/>
          <w:spacing w:val="1"/>
        </w:rPr>
        <w:t>ch</w:t>
      </w:r>
      <w:r w:rsidRPr="007223FB">
        <w:rPr>
          <w:rFonts w:eastAsia="Candara" w:cs="Candara"/>
        </w:rPr>
        <w:t>a</w:t>
      </w:r>
      <w:r w:rsidRPr="007223FB">
        <w:rPr>
          <w:rFonts w:eastAsia="Candara" w:cs="Candara"/>
          <w:spacing w:val="2"/>
        </w:rPr>
        <w:t xml:space="preserve"> </w:t>
      </w:r>
      <w:r w:rsidRPr="007223FB">
        <w:rPr>
          <w:rFonts w:eastAsia="Candara" w:cs="Candara"/>
        </w:rPr>
        <w:t>p</w:t>
      </w:r>
      <w:r w:rsidRPr="007223FB">
        <w:rPr>
          <w:rFonts w:eastAsia="Candara" w:cs="Candara"/>
          <w:spacing w:val="-2"/>
        </w:rPr>
        <w:t>a</w:t>
      </w:r>
      <w:r w:rsidRPr="007223FB">
        <w:rPr>
          <w:rFonts w:eastAsia="Candara" w:cs="Candara"/>
          <w:spacing w:val="-1"/>
        </w:rPr>
        <w:t>r</w:t>
      </w:r>
      <w:r w:rsidRPr="007223FB">
        <w:rPr>
          <w:rFonts w:eastAsia="Candara" w:cs="Candara"/>
        </w:rPr>
        <w:t>a</w:t>
      </w:r>
      <w:r w:rsidRPr="007223FB">
        <w:rPr>
          <w:rFonts w:eastAsia="Candara" w:cs="Candara"/>
          <w:spacing w:val="2"/>
        </w:rPr>
        <w:t xml:space="preserve"> </w:t>
      </w:r>
      <w:r w:rsidRPr="007223FB">
        <w:rPr>
          <w:rFonts w:eastAsia="Candara" w:cs="Candara"/>
        </w:rPr>
        <w:t>la</w:t>
      </w:r>
      <w:r w:rsidRPr="007223FB">
        <w:rPr>
          <w:rFonts w:eastAsia="Candara" w:cs="Candara"/>
          <w:spacing w:val="2"/>
        </w:rPr>
        <w:t xml:space="preserve"> </w:t>
      </w:r>
      <w:r w:rsidRPr="007223FB">
        <w:rPr>
          <w:rFonts w:eastAsia="Candara" w:cs="Candara"/>
        </w:rPr>
        <w:t>e</w:t>
      </w:r>
      <w:r w:rsidRPr="007223FB">
        <w:rPr>
          <w:rFonts w:eastAsia="Candara" w:cs="Candara"/>
          <w:spacing w:val="1"/>
        </w:rPr>
        <w:t>n</w:t>
      </w:r>
      <w:r w:rsidRPr="007223FB">
        <w:rPr>
          <w:rFonts w:eastAsia="Candara" w:cs="Candara"/>
        </w:rPr>
        <w:t>t</w:t>
      </w:r>
      <w:r w:rsidRPr="007223FB">
        <w:rPr>
          <w:rFonts w:eastAsia="Candara" w:cs="Candara"/>
          <w:spacing w:val="1"/>
        </w:rPr>
        <w:t>r</w:t>
      </w:r>
      <w:r w:rsidRPr="007223FB">
        <w:rPr>
          <w:rFonts w:eastAsia="Candara" w:cs="Candara"/>
          <w:spacing w:val="-3"/>
        </w:rPr>
        <w:t>e</w:t>
      </w:r>
      <w:r w:rsidRPr="007223FB">
        <w:rPr>
          <w:rFonts w:eastAsia="Candara" w:cs="Candara"/>
          <w:spacing w:val="1"/>
        </w:rPr>
        <w:t>g</w:t>
      </w:r>
      <w:r w:rsidRPr="007223FB">
        <w:rPr>
          <w:rFonts w:eastAsia="Candara" w:cs="Candara"/>
        </w:rPr>
        <w:t xml:space="preserve">a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l</w:t>
      </w:r>
      <w:r w:rsidRPr="007223FB">
        <w:rPr>
          <w:rFonts w:eastAsia="Candara" w:cs="Candara"/>
          <w:spacing w:val="-3"/>
        </w:rPr>
        <w:t>o</w:t>
      </w:r>
      <w:r w:rsidRPr="007223FB">
        <w:rPr>
          <w:rFonts w:eastAsia="Candara" w:cs="Candara"/>
        </w:rPr>
        <w:t>s 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t</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y</w:t>
      </w:r>
      <w:r w:rsidRPr="007223FB">
        <w:rPr>
          <w:rFonts w:eastAsia="Candara" w:cs="Candara"/>
          <w:spacing w:val="-1"/>
        </w:rPr>
        <w:t xml:space="preserve"> </w:t>
      </w:r>
      <w:r w:rsidRPr="007223FB">
        <w:rPr>
          <w:rFonts w:eastAsia="Candara" w:cs="Candara"/>
          <w:spacing w:val="1"/>
        </w:rPr>
        <w:t>s</w:t>
      </w:r>
      <w:r w:rsidRPr="007223FB">
        <w:rPr>
          <w:rFonts w:eastAsia="Candara" w:cs="Candara"/>
        </w:rPr>
        <w:t>ub</w:t>
      </w:r>
      <w:r w:rsidRPr="007223FB">
        <w:rPr>
          <w:rFonts w:eastAsia="Candara" w:cs="Candara"/>
          <w:spacing w:val="-2"/>
        </w:rPr>
        <w:t>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t</w:t>
      </w:r>
      <w:r w:rsidRPr="007223FB">
        <w:rPr>
          <w:rFonts w:eastAsia="Candara" w:cs="Candara"/>
          <w:spacing w:val="-1"/>
        </w:rPr>
        <w:t>os</w:t>
      </w:r>
      <w:r w:rsidRPr="007223FB">
        <w:rPr>
          <w:rFonts w:eastAsia="Candara" w:cs="Candara"/>
        </w:rPr>
        <w:t>.</w:t>
      </w:r>
    </w:p>
    <w:p w:rsidR="007D0929" w:rsidRPr="007223FB" w:rsidRDefault="007D0929" w:rsidP="006C13F5">
      <w:pPr>
        <w:spacing w:before="120" w:after="120" w:line="240" w:lineRule="auto"/>
        <w:ind w:right="57"/>
        <w:rPr>
          <w:rFonts w:eastAsia="Candara" w:cs="Candara"/>
        </w:rPr>
      </w:pPr>
      <w:r w:rsidRPr="007223FB">
        <w:rPr>
          <w:rFonts w:eastAsia="Candara" w:cs="Candara"/>
          <w:spacing w:val="1"/>
        </w:rPr>
        <w:t>T</w:t>
      </w:r>
      <w:r w:rsidRPr="007223FB">
        <w:rPr>
          <w:rFonts w:eastAsia="Candara" w:cs="Candara"/>
        </w:rPr>
        <w:t>ambién</w:t>
      </w:r>
      <w:r w:rsidRPr="007223FB">
        <w:rPr>
          <w:rFonts w:eastAsia="Candara" w:cs="Candara"/>
          <w:spacing w:val="3"/>
        </w:rPr>
        <w:t xml:space="preserve"> </w:t>
      </w:r>
      <w:r w:rsidRPr="007223FB">
        <w:rPr>
          <w:rFonts w:eastAsia="Candara" w:cs="Candara"/>
          <w:spacing w:val="1"/>
        </w:rPr>
        <w:t>s</w:t>
      </w:r>
      <w:r w:rsidRPr="007223FB">
        <w:rPr>
          <w:rFonts w:eastAsia="Candara" w:cs="Candara"/>
        </w:rPr>
        <w:t>e 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e</w:t>
      </w:r>
      <w:r w:rsidRPr="007223FB">
        <w:rPr>
          <w:rFonts w:eastAsia="Candara" w:cs="Candara"/>
          <w:spacing w:val="1"/>
        </w:rPr>
        <w:t>n</w:t>
      </w:r>
      <w:r w:rsidRPr="007223FB">
        <w:rPr>
          <w:rFonts w:eastAsia="Candara" w:cs="Candara"/>
        </w:rPr>
        <w:t>tan</w:t>
      </w:r>
      <w:r w:rsidRPr="007223FB">
        <w:rPr>
          <w:rFonts w:eastAsia="Candara" w:cs="Candara"/>
          <w:spacing w:val="1"/>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1"/>
        </w:rPr>
        <w:t xml:space="preserve"> d</w:t>
      </w:r>
      <w:r w:rsidRPr="007223FB">
        <w:rPr>
          <w:rFonts w:eastAsia="Candara" w:cs="Candara"/>
        </w:rPr>
        <w:t>e</w:t>
      </w:r>
      <w:r w:rsidRPr="007223FB">
        <w:rPr>
          <w:rFonts w:eastAsia="Candara" w:cs="Candara"/>
          <w:spacing w:val="1"/>
        </w:rPr>
        <w:t>s</w:t>
      </w:r>
      <w:r w:rsidRPr="007223FB">
        <w:rPr>
          <w:rFonts w:eastAsia="Candara" w:cs="Candara"/>
        </w:rPr>
        <w:t>afí</w:t>
      </w:r>
      <w:r w:rsidRPr="007223FB">
        <w:rPr>
          <w:rFonts w:eastAsia="Candara" w:cs="Candara"/>
          <w:spacing w:val="-3"/>
        </w:rPr>
        <w:t>o</w:t>
      </w:r>
      <w:r w:rsidRPr="007223FB">
        <w:rPr>
          <w:rFonts w:eastAsia="Candara" w:cs="Candara"/>
        </w:rPr>
        <w:t>s</w:t>
      </w:r>
      <w:r w:rsidRPr="007223FB">
        <w:rPr>
          <w:rFonts w:eastAsia="Candara" w:cs="Candara"/>
          <w:spacing w:val="4"/>
        </w:rPr>
        <w:t xml:space="preserve"> </w:t>
      </w:r>
      <w:r w:rsidRPr="007223FB">
        <w:rPr>
          <w:rFonts w:eastAsia="Candara" w:cs="Candara"/>
          <w:spacing w:val="1"/>
        </w:rPr>
        <w:t>d</w:t>
      </w:r>
      <w:r w:rsidRPr="007223FB">
        <w:rPr>
          <w:rFonts w:eastAsia="Candara" w:cs="Candara"/>
        </w:rPr>
        <w:t xml:space="preserve">e </w:t>
      </w:r>
      <w:r w:rsidRPr="007223FB">
        <w:rPr>
          <w:rFonts w:eastAsia="Candara" w:cs="Candara"/>
          <w:spacing w:val="1"/>
        </w:rPr>
        <w:t>Es</w:t>
      </w:r>
      <w:r w:rsidRPr="007223FB">
        <w:rPr>
          <w:rFonts w:eastAsia="Candara" w:cs="Candara"/>
          <w:spacing w:val="-2"/>
        </w:rPr>
        <w:t>t</w:t>
      </w:r>
      <w:r w:rsidRPr="007223FB">
        <w:rPr>
          <w:rFonts w:eastAsia="Candara" w:cs="Candara"/>
        </w:rPr>
        <w:t>a</w:t>
      </w:r>
      <w:r w:rsidRPr="007223FB">
        <w:rPr>
          <w:rFonts w:eastAsia="Candara" w:cs="Candara"/>
          <w:spacing w:val="1"/>
        </w:rPr>
        <w:t>d</w:t>
      </w:r>
      <w:r w:rsidRPr="007223FB">
        <w:rPr>
          <w:rFonts w:eastAsia="Candara" w:cs="Candara"/>
        </w:rPr>
        <w:t>o</w:t>
      </w:r>
      <w:r w:rsidRPr="007223FB">
        <w:rPr>
          <w:rFonts w:eastAsia="Candara" w:cs="Candara"/>
          <w:spacing w:val="2"/>
        </w:rPr>
        <w:t xml:space="preserve"> </w:t>
      </w:r>
      <w:r w:rsidRPr="007223FB">
        <w:rPr>
          <w:rFonts w:eastAsia="Candara" w:cs="Candara"/>
        </w:rPr>
        <w:t xml:space="preserve">que </w:t>
      </w:r>
      <w:r w:rsidRPr="007223FB">
        <w:rPr>
          <w:rFonts w:eastAsia="Candara" w:cs="Candara"/>
          <w:spacing w:val="1"/>
        </w:rPr>
        <w:t>s</w:t>
      </w:r>
      <w:r w:rsidRPr="007223FB">
        <w:rPr>
          <w:rFonts w:eastAsia="Candara" w:cs="Candara"/>
        </w:rPr>
        <w:t>e</w:t>
      </w:r>
      <w:r w:rsidRPr="007223FB">
        <w:rPr>
          <w:rFonts w:eastAsia="Candara" w:cs="Candara"/>
          <w:spacing w:val="2"/>
        </w:rPr>
        <w:t xml:space="preserve"> </w:t>
      </w:r>
      <w:r w:rsidRPr="007223FB">
        <w:rPr>
          <w:rFonts w:eastAsia="Candara" w:cs="Candara"/>
          <w:spacing w:val="1"/>
        </w:rPr>
        <w:t>d</w:t>
      </w:r>
      <w:r w:rsidRPr="007223FB">
        <w:rPr>
          <w:rFonts w:eastAsia="Candara" w:cs="Candara"/>
          <w:spacing w:val="-1"/>
        </w:rPr>
        <w:t>e</w:t>
      </w:r>
      <w:r w:rsidRPr="007223FB">
        <w:rPr>
          <w:rFonts w:eastAsia="Candara" w:cs="Candara"/>
        </w:rPr>
        <w:t>b</w:t>
      </w:r>
      <w:r w:rsidRPr="007223FB">
        <w:rPr>
          <w:rFonts w:eastAsia="Candara" w:cs="Candara"/>
          <w:spacing w:val="-3"/>
        </w:rPr>
        <w:t>e</w:t>
      </w:r>
      <w:r w:rsidRPr="007223FB">
        <w:rPr>
          <w:rFonts w:eastAsia="Candara" w:cs="Candara"/>
        </w:rPr>
        <w:t>n</w:t>
      </w:r>
      <w:r w:rsidRPr="007223FB">
        <w:rPr>
          <w:rFonts w:eastAsia="Candara" w:cs="Candara"/>
          <w:spacing w:val="3"/>
        </w:rPr>
        <w:t xml:space="preserve"> </w:t>
      </w:r>
      <w:r w:rsidRPr="007223FB">
        <w:rPr>
          <w:rFonts w:eastAsia="Candara" w:cs="Candara"/>
          <w:spacing w:val="1"/>
        </w:rPr>
        <w:t>c</w:t>
      </w:r>
      <w:r w:rsidRPr="007223FB">
        <w:rPr>
          <w:rFonts w:eastAsia="Candara" w:cs="Candara"/>
          <w:spacing w:val="-3"/>
        </w:rPr>
        <w:t>o</w:t>
      </w:r>
      <w:r w:rsidRPr="007223FB">
        <w:rPr>
          <w:rFonts w:eastAsia="Candara" w:cs="Candara"/>
          <w:spacing w:val="1"/>
        </w:rPr>
        <w:t>ns</w:t>
      </w:r>
      <w:r w:rsidRPr="007223FB">
        <w:rPr>
          <w:rFonts w:eastAsia="Candara" w:cs="Candara"/>
          <w:spacing w:val="-2"/>
        </w:rPr>
        <w:t>i</w:t>
      </w:r>
      <w:r w:rsidRPr="007223FB">
        <w:rPr>
          <w:rFonts w:eastAsia="Candara" w:cs="Candara"/>
          <w:spacing w:val="1"/>
        </w:rPr>
        <w:t>d</w:t>
      </w:r>
      <w:r w:rsidRPr="007223FB">
        <w:rPr>
          <w:rFonts w:eastAsia="Candara" w:cs="Candara"/>
        </w:rPr>
        <w:t>e</w:t>
      </w:r>
      <w:r w:rsidRPr="007223FB">
        <w:rPr>
          <w:rFonts w:eastAsia="Candara" w:cs="Candara"/>
          <w:spacing w:val="1"/>
        </w:rPr>
        <w:t>r</w:t>
      </w:r>
      <w:r w:rsidRPr="007223FB">
        <w:rPr>
          <w:rFonts w:eastAsia="Candara" w:cs="Candara"/>
          <w:spacing w:val="-2"/>
        </w:rPr>
        <w:t>a</w:t>
      </w:r>
      <w:r w:rsidRPr="007223FB">
        <w:rPr>
          <w:rFonts w:eastAsia="Candara" w:cs="Candara"/>
        </w:rPr>
        <w:t>r</w:t>
      </w:r>
      <w:r w:rsidRPr="007223FB">
        <w:rPr>
          <w:rFonts w:eastAsia="Candara" w:cs="Candara"/>
          <w:spacing w:val="3"/>
        </w:rPr>
        <w:t xml:space="preserve"> </w:t>
      </w:r>
      <w:r w:rsidRPr="007223FB">
        <w:rPr>
          <w:rFonts w:eastAsia="Candara" w:cs="Candara"/>
        </w:rPr>
        <w:t>pa</w:t>
      </w:r>
      <w:r w:rsidRPr="007223FB">
        <w:rPr>
          <w:rFonts w:eastAsia="Candara" w:cs="Candara"/>
          <w:spacing w:val="1"/>
        </w:rPr>
        <w:t>r</w:t>
      </w:r>
      <w:r w:rsidRPr="007223FB">
        <w:rPr>
          <w:rFonts w:eastAsia="Candara" w:cs="Candara"/>
        </w:rPr>
        <w:t>a ava</w:t>
      </w:r>
      <w:r w:rsidRPr="007223FB">
        <w:rPr>
          <w:rFonts w:eastAsia="Candara" w:cs="Candara"/>
          <w:spacing w:val="1"/>
        </w:rPr>
        <w:t>n</w:t>
      </w:r>
      <w:r w:rsidRPr="007223FB">
        <w:rPr>
          <w:rFonts w:eastAsia="Candara" w:cs="Candara"/>
        </w:rPr>
        <w:t>zar</w:t>
      </w:r>
      <w:r w:rsidRPr="007223FB">
        <w:rPr>
          <w:rFonts w:eastAsia="Candara" w:cs="Candara"/>
          <w:spacing w:val="1"/>
        </w:rPr>
        <w:t xml:space="preserve"> h</w:t>
      </w:r>
      <w:r w:rsidRPr="007223FB">
        <w:rPr>
          <w:rFonts w:eastAsia="Candara" w:cs="Candara"/>
        </w:rPr>
        <w:t>a</w:t>
      </w:r>
      <w:r w:rsidRPr="007223FB">
        <w:rPr>
          <w:rFonts w:eastAsia="Candara" w:cs="Candara"/>
          <w:spacing w:val="1"/>
        </w:rPr>
        <w:t>c</w:t>
      </w:r>
      <w:r w:rsidRPr="007223FB">
        <w:rPr>
          <w:rFonts w:eastAsia="Candara" w:cs="Candara"/>
        </w:rPr>
        <w:t xml:space="preserve">ia </w:t>
      </w:r>
      <w:r w:rsidRPr="007223FB">
        <w:rPr>
          <w:rFonts w:eastAsia="Candara" w:cs="Candara"/>
          <w:spacing w:val="-2"/>
        </w:rPr>
        <w:t>l</w:t>
      </w:r>
      <w:r w:rsidRPr="007223FB">
        <w:rPr>
          <w:rFonts w:eastAsia="Candara" w:cs="Candara"/>
        </w:rPr>
        <w:t>a Ge</w:t>
      </w:r>
      <w:r w:rsidRPr="007223FB">
        <w:rPr>
          <w:rFonts w:eastAsia="Candara" w:cs="Candara"/>
          <w:spacing w:val="1"/>
        </w:rPr>
        <w:t>s</w:t>
      </w:r>
      <w:r w:rsidRPr="007223FB">
        <w:rPr>
          <w:rFonts w:eastAsia="Candara" w:cs="Candara"/>
        </w:rPr>
        <w:t>ti</w:t>
      </w:r>
      <w:r w:rsidRPr="007223FB">
        <w:rPr>
          <w:rFonts w:eastAsia="Candara" w:cs="Candara"/>
          <w:spacing w:val="-1"/>
        </w:rPr>
        <w:t>ó</w:t>
      </w:r>
      <w:r w:rsidRPr="007223FB">
        <w:rPr>
          <w:rFonts w:eastAsia="Candara" w:cs="Candara"/>
        </w:rPr>
        <w:t>n</w:t>
      </w:r>
      <w:r w:rsidRPr="007223FB">
        <w:rPr>
          <w:rFonts w:eastAsia="Candara" w:cs="Candara"/>
          <w:spacing w:val="2"/>
        </w:rPr>
        <w:t xml:space="preserve"> </w:t>
      </w:r>
      <w:r w:rsidRPr="007223FB">
        <w:rPr>
          <w:rFonts w:eastAsia="Candara" w:cs="Candara"/>
          <w:spacing w:val="1"/>
        </w:rPr>
        <w:t>P</w:t>
      </w:r>
      <w:r w:rsidRPr="007223FB">
        <w:rPr>
          <w:rFonts w:eastAsia="Candara" w:cs="Candara"/>
        </w:rPr>
        <w:t>úbli</w:t>
      </w:r>
      <w:r w:rsidRPr="007223FB">
        <w:rPr>
          <w:rFonts w:eastAsia="Candara" w:cs="Candara"/>
          <w:spacing w:val="-1"/>
        </w:rPr>
        <w:t>c</w:t>
      </w:r>
      <w:r w:rsidRPr="007223FB">
        <w:rPr>
          <w:rFonts w:eastAsia="Candara" w:cs="Candara"/>
        </w:rPr>
        <w:t>a</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3"/>
        </w:rPr>
        <w:t xml:space="preserve"> </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1"/>
        </w:rPr>
        <w:t>o</w:t>
      </w:r>
      <w:r w:rsidRPr="007223FB">
        <w:rPr>
          <w:rFonts w:eastAsia="Candara" w:cs="Candara"/>
        </w:rPr>
        <w:t>s</w:t>
      </w:r>
      <w:r w:rsidRPr="007223FB">
        <w:rPr>
          <w:rFonts w:eastAsia="Candara" w:cs="Candara"/>
          <w:spacing w:val="3"/>
        </w:rPr>
        <w:t xml:space="preserve"> </w:t>
      </w:r>
      <w:r w:rsidRPr="007223FB">
        <w:rPr>
          <w:rFonts w:eastAsia="Candara" w:cs="Candara"/>
          <w:spacing w:val="-1"/>
        </w:rPr>
        <w:t>(</w:t>
      </w:r>
      <w:r w:rsidRPr="007223FB">
        <w:rPr>
          <w:rFonts w:eastAsia="Candara" w:cs="Candara"/>
        </w:rPr>
        <w:t>Gp</w:t>
      </w:r>
      <w:r w:rsidRPr="007223FB">
        <w:rPr>
          <w:rFonts w:eastAsia="Candara" w:cs="Candara"/>
          <w:spacing w:val="1"/>
        </w:rPr>
        <w:t>R</w:t>
      </w:r>
      <w:r w:rsidRPr="007223FB">
        <w:rPr>
          <w:rFonts w:eastAsia="Candara" w:cs="Candara"/>
          <w:spacing w:val="-1"/>
        </w:rPr>
        <w:t>)</w:t>
      </w:r>
      <w:r w:rsidRPr="007223FB">
        <w:rPr>
          <w:rFonts w:eastAsia="Candara" w:cs="Candara"/>
        </w:rPr>
        <w:t>;</w:t>
      </w:r>
      <w:r w:rsidRPr="007223FB">
        <w:rPr>
          <w:rFonts w:eastAsia="Candara" w:cs="Candara"/>
          <w:spacing w:val="1"/>
        </w:rPr>
        <w:t xml:space="preserve"> </w:t>
      </w:r>
      <w:r w:rsidRPr="007223FB">
        <w:rPr>
          <w:rFonts w:eastAsia="Candara" w:cs="Candara"/>
        </w:rPr>
        <w:t>un</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rPr>
        <w:t>fue</w:t>
      </w:r>
      <w:r w:rsidRPr="007223FB">
        <w:rPr>
          <w:rFonts w:eastAsia="Candara" w:cs="Candara"/>
          <w:spacing w:val="-1"/>
        </w:rPr>
        <w:t>r</w:t>
      </w:r>
      <w:r w:rsidRPr="007223FB">
        <w:rPr>
          <w:rFonts w:eastAsia="Candara" w:cs="Candara"/>
        </w:rPr>
        <w:t>zo</w:t>
      </w:r>
      <w:r w:rsidRPr="007223FB">
        <w:rPr>
          <w:rFonts w:eastAsia="Candara" w:cs="Candara"/>
          <w:spacing w:val="1"/>
        </w:rPr>
        <w:t xml:space="preserve"> </w:t>
      </w:r>
      <w:r w:rsidRPr="007223FB">
        <w:rPr>
          <w:rFonts w:eastAsia="Candara" w:cs="Candara"/>
        </w:rPr>
        <w:t>que la</w:t>
      </w:r>
      <w:r w:rsidRPr="007223FB">
        <w:rPr>
          <w:rFonts w:eastAsia="Candara" w:cs="Candara"/>
          <w:spacing w:val="1"/>
        </w:rPr>
        <w:t xml:space="preserve"> </w:t>
      </w:r>
      <w:r w:rsidRPr="007223FB">
        <w:rPr>
          <w:rFonts w:eastAsia="Candara" w:cs="Candara"/>
        </w:rPr>
        <w:t>a</w:t>
      </w:r>
      <w:r w:rsidRPr="007223FB">
        <w:rPr>
          <w:rFonts w:eastAsia="Candara" w:cs="Candara"/>
          <w:spacing w:val="1"/>
        </w:rPr>
        <w:t>d</w:t>
      </w:r>
      <w:r w:rsidRPr="007223FB">
        <w:rPr>
          <w:rFonts w:eastAsia="Candara" w:cs="Candara"/>
        </w:rPr>
        <w:t>mi</w:t>
      </w:r>
      <w:r w:rsidRPr="007223FB">
        <w:rPr>
          <w:rFonts w:eastAsia="Candara" w:cs="Candara"/>
          <w:spacing w:val="1"/>
        </w:rPr>
        <w:t>n</w:t>
      </w:r>
      <w:r w:rsidRPr="007223FB">
        <w:rPr>
          <w:rFonts w:eastAsia="Candara" w:cs="Candara"/>
        </w:rPr>
        <w:t>i</w:t>
      </w:r>
      <w:r w:rsidRPr="007223FB">
        <w:rPr>
          <w:rFonts w:eastAsia="Candara" w:cs="Candara"/>
          <w:spacing w:val="1"/>
        </w:rPr>
        <w:t>s</w:t>
      </w:r>
      <w:r w:rsidRPr="007223FB">
        <w:rPr>
          <w:rFonts w:eastAsia="Candara" w:cs="Candara"/>
        </w:rPr>
        <w:t>t</w:t>
      </w:r>
      <w:r w:rsidRPr="007223FB">
        <w:rPr>
          <w:rFonts w:eastAsia="Candara" w:cs="Candara"/>
          <w:spacing w:val="1"/>
        </w:rPr>
        <w:t>r</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 xml:space="preserve">n </w:t>
      </w:r>
      <w:r w:rsidRPr="007223FB">
        <w:rPr>
          <w:rFonts w:eastAsia="Candara" w:cs="Candara"/>
          <w:spacing w:val="1"/>
        </w:rPr>
        <w:t>c</w:t>
      </w:r>
      <w:r w:rsidRPr="007223FB">
        <w:rPr>
          <w:rFonts w:eastAsia="Candara" w:cs="Candara"/>
          <w:spacing w:val="-1"/>
        </w:rPr>
        <w:t>o</w:t>
      </w:r>
      <w:r w:rsidRPr="007223FB">
        <w:rPr>
          <w:rFonts w:eastAsia="Candara" w:cs="Candara"/>
          <w:spacing w:val="1"/>
        </w:rPr>
        <w:t>n</w:t>
      </w:r>
      <w:r w:rsidRPr="007223FB">
        <w:rPr>
          <w:rFonts w:eastAsia="Candara" w:cs="Candara"/>
        </w:rPr>
        <w:t>ti</w:t>
      </w:r>
      <w:r w:rsidRPr="007223FB">
        <w:rPr>
          <w:rFonts w:eastAsia="Candara" w:cs="Candara"/>
          <w:spacing w:val="1"/>
        </w:rPr>
        <w:t>n</w:t>
      </w:r>
      <w:r w:rsidRPr="007223FB">
        <w:rPr>
          <w:rFonts w:eastAsia="Candara" w:cs="Candara"/>
          <w:spacing w:val="-3"/>
        </w:rPr>
        <w:t>ú</w:t>
      </w:r>
      <w:r w:rsidRPr="007223FB">
        <w:rPr>
          <w:rFonts w:eastAsia="Candara" w:cs="Candara"/>
        </w:rPr>
        <w:t>a impul</w:t>
      </w:r>
      <w:r w:rsidRPr="007223FB">
        <w:rPr>
          <w:rFonts w:eastAsia="Candara" w:cs="Candara"/>
          <w:spacing w:val="1"/>
        </w:rPr>
        <w:t>s</w:t>
      </w:r>
      <w:r w:rsidRPr="007223FB">
        <w:rPr>
          <w:rFonts w:eastAsia="Candara" w:cs="Candara"/>
        </w:rPr>
        <w:t>a</w:t>
      </w:r>
      <w:r w:rsidRPr="007223FB">
        <w:rPr>
          <w:rFonts w:eastAsia="Candara" w:cs="Candara"/>
          <w:spacing w:val="1"/>
        </w:rPr>
        <w:t>nd</w:t>
      </w:r>
      <w:r w:rsidRPr="007223FB">
        <w:rPr>
          <w:rFonts w:eastAsia="Candara" w:cs="Candara"/>
        </w:rPr>
        <w:t>o</w:t>
      </w:r>
      <w:r w:rsidRPr="007223FB">
        <w:rPr>
          <w:rFonts w:eastAsia="Candara" w:cs="Candara"/>
          <w:spacing w:val="-3"/>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que bu</w:t>
      </w:r>
      <w:r w:rsidRPr="007223FB">
        <w:rPr>
          <w:rFonts w:eastAsia="Candara" w:cs="Candara"/>
          <w:spacing w:val="-1"/>
        </w:rPr>
        <w:t>s</w:t>
      </w:r>
      <w:r w:rsidRPr="007223FB">
        <w:rPr>
          <w:rFonts w:eastAsia="Candara" w:cs="Candara"/>
          <w:spacing w:val="1"/>
        </w:rPr>
        <w:t>c</w:t>
      </w:r>
      <w:r w:rsidRPr="007223FB">
        <w:rPr>
          <w:rFonts w:eastAsia="Candara" w:cs="Candara"/>
        </w:rPr>
        <w:t xml:space="preserve">a </w:t>
      </w:r>
      <w:r w:rsidRPr="007223FB">
        <w:rPr>
          <w:rFonts w:eastAsia="Candara" w:cs="Candara"/>
          <w:spacing w:val="-3"/>
        </w:rPr>
        <w:t>m</w:t>
      </w:r>
      <w:r w:rsidRPr="007223FB">
        <w:rPr>
          <w:rFonts w:eastAsia="Candara" w:cs="Candara"/>
        </w:rPr>
        <w:t>ej</w:t>
      </w:r>
      <w:r w:rsidRPr="007223FB">
        <w:rPr>
          <w:rFonts w:eastAsia="Candara" w:cs="Candara"/>
          <w:spacing w:val="-1"/>
        </w:rPr>
        <w:t>o</w:t>
      </w:r>
      <w:r w:rsidRPr="007223FB">
        <w:rPr>
          <w:rFonts w:eastAsia="Candara" w:cs="Candara"/>
          <w:spacing w:val="1"/>
        </w:rPr>
        <w:t>r</w:t>
      </w:r>
      <w:r w:rsidRPr="007223FB">
        <w:rPr>
          <w:rFonts w:eastAsia="Candara" w:cs="Candara"/>
        </w:rPr>
        <w:t>ar</w:t>
      </w:r>
      <w:r w:rsidRPr="007223FB">
        <w:rPr>
          <w:rFonts w:eastAsia="Candara" w:cs="Candara"/>
          <w:spacing w:val="1"/>
        </w:rPr>
        <w:t xml:space="preserve"> </w:t>
      </w:r>
      <w:r w:rsidRPr="007223FB">
        <w:rPr>
          <w:rFonts w:eastAsia="Candara" w:cs="Candara"/>
        </w:rPr>
        <w:t>la</w:t>
      </w:r>
      <w:r w:rsidRPr="007223FB">
        <w:rPr>
          <w:rFonts w:eastAsia="Candara" w:cs="Candara"/>
          <w:spacing w:val="-2"/>
        </w:rPr>
        <w:t xml:space="preserve"> </w:t>
      </w:r>
      <w:r w:rsidRPr="007223FB">
        <w:rPr>
          <w:rFonts w:eastAsia="Candara" w:cs="Candara"/>
          <w:spacing w:val="1"/>
        </w:rPr>
        <w:t>c</w:t>
      </w:r>
      <w:r w:rsidRPr="007223FB">
        <w:rPr>
          <w:rFonts w:eastAsia="Candara" w:cs="Candara"/>
        </w:rPr>
        <w:t>ali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1"/>
        </w:rPr>
        <w:t xml:space="preserve"> </w:t>
      </w:r>
      <w:r w:rsidRPr="007223FB">
        <w:rPr>
          <w:rFonts w:eastAsia="Candara" w:cs="Candara"/>
          <w:spacing w:val="1"/>
        </w:rPr>
        <w:t>d</w:t>
      </w:r>
      <w:r w:rsidRPr="007223FB">
        <w:rPr>
          <w:rFonts w:eastAsia="Candara" w:cs="Candara"/>
        </w:rPr>
        <w:t>e vi</w:t>
      </w:r>
      <w:r w:rsidRPr="007223FB">
        <w:rPr>
          <w:rFonts w:eastAsia="Candara" w:cs="Candara"/>
          <w:spacing w:val="1"/>
        </w:rPr>
        <w:t>d</w:t>
      </w:r>
      <w:r w:rsidRPr="007223FB">
        <w:rPr>
          <w:rFonts w:eastAsia="Candara" w:cs="Candara"/>
        </w:rPr>
        <w:t>a</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t</w:t>
      </w:r>
      <w:r w:rsidRPr="007223FB">
        <w:rPr>
          <w:rFonts w:eastAsia="Candara" w:cs="Candara"/>
          <w:spacing w:val="-2"/>
        </w:rPr>
        <w:t>o</w:t>
      </w:r>
      <w:r w:rsidRPr="007223FB">
        <w:rPr>
          <w:rFonts w:eastAsia="Candara" w:cs="Candara"/>
          <w:spacing w:val="1"/>
        </w:rPr>
        <w:t>d</w:t>
      </w:r>
      <w:r w:rsidRPr="007223FB">
        <w:rPr>
          <w:rFonts w:eastAsia="Candara" w:cs="Candara"/>
        </w:rPr>
        <w:t>as</w:t>
      </w:r>
      <w:r w:rsidRPr="007223FB">
        <w:rPr>
          <w:rFonts w:eastAsia="Candara" w:cs="Candara"/>
          <w:spacing w:val="-1"/>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t</w:t>
      </w:r>
      <w:r w:rsidRPr="007223FB">
        <w:rPr>
          <w:rFonts w:eastAsia="Candara" w:cs="Candara"/>
          <w:spacing w:val="-1"/>
        </w:rPr>
        <w:t>o</w:t>
      </w:r>
      <w:r w:rsidRPr="007223FB">
        <w:rPr>
          <w:rFonts w:eastAsia="Candara" w:cs="Candara"/>
          <w:spacing w:val="1"/>
        </w:rPr>
        <w:t>d</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l</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spacing w:val="1"/>
        </w:rPr>
        <w:t>g</w:t>
      </w:r>
      <w:r w:rsidRPr="007223FB">
        <w:rPr>
          <w:rFonts w:eastAsia="Candara" w:cs="Candara"/>
        </w:rPr>
        <w:t>uate</w:t>
      </w:r>
      <w:r w:rsidRPr="007223FB">
        <w:rPr>
          <w:rFonts w:eastAsia="Candara" w:cs="Candara"/>
          <w:spacing w:val="-3"/>
        </w:rPr>
        <w:t>m</w:t>
      </w:r>
      <w:r w:rsidRPr="007223FB">
        <w:rPr>
          <w:rFonts w:eastAsia="Candara" w:cs="Candara"/>
        </w:rPr>
        <w:t>alte</w:t>
      </w:r>
      <w:r w:rsidRPr="007223FB">
        <w:rPr>
          <w:rFonts w:eastAsia="Candara" w:cs="Candara"/>
          <w:spacing w:val="1"/>
        </w:rPr>
        <w:t>c</w:t>
      </w:r>
      <w:r w:rsidRPr="007223FB">
        <w:rPr>
          <w:rFonts w:eastAsia="Candara" w:cs="Candara"/>
          <w:spacing w:val="-1"/>
        </w:rPr>
        <w:t>o</w:t>
      </w:r>
      <w:r w:rsidRPr="007223FB">
        <w:rPr>
          <w:rFonts w:eastAsia="Candara" w:cs="Candara"/>
          <w:spacing w:val="1"/>
        </w:rPr>
        <w:t>s</w:t>
      </w:r>
      <w:r w:rsidRPr="007223FB">
        <w:rPr>
          <w:rFonts w:eastAsia="Candara" w:cs="Candara"/>
        </w:rPr>
        <w:t>.</w:t>
      </w:r>
    </w:p>
    <w:p w:rsidR="007D0929" w:rsidRPr="007223FB" w:rsidRDefault="007D0929" w:rsidP="006C13F5">
      <w:pPr>
        <w:spacing w:before="120" w:after="120" w:line="240" w:lineRule="auto"/>
        <w:ind w:right="58"/>
        <w:rPr>
          <w:rFonts w:eastAsia="Candara" w:cs="Candara"/>
        </w:rPr>
      </w:pPr>
      <w:r w:rsidRPr="007223FB">
        <w:rPr>
          <w:rFonts w:eastAsia="Candara" w:cs="Candara"/>
        </w:rPr>
        <w:t>Fi</w:t>
      </w:r>
      <w:r w:rsidRPr="007223FB">
        <w:rPr>
          <w:rFonts w:eastAsia="Candara" w:cs="Candara"/>
          <w:spacing w:val="1"/>
        </w:rPr>
        <w:t>n</w:t>
      </w:r>
      <w:r w:rsidRPr="007223FB">
        <w:rPr>
          <w:rFonts w:eastAsia="Candara" w:cs="Candara"/>
        </w:rPr>
        <w:t>alme</w:t>
      </w:r>
      <w:r w:rsidRPr="007223FB">
        <w:rPr>
          <w:rFonts w:eastAsia="Candara" w:cs="Candara"/>
          <w:spacing w:val="1"/>
        </w:rPr>
        <w:t>n</w:t>
      </w:r>
      <w:r w:rsidRPr="007223FB">
        <w:rPr>
          <w:rFonts w:eastAsia="Candara" w:cs="Candara"/>
        </w:rPr>
        <w:t>te</w:t>
      </w:r>
      <w:r w:rsidRPr="007223FB">
        <w:rPr>
          <w:rFonts w:eastAsia="Candara" w:cs="Candara"/>
          <w:spacing w:val="3"/>
        </w:rPr>
        <w:t xml:space="preserve"> </w:t>
      </w:r>
      <w:r w:rsidRPr="007223FB">
        <w:rPr>
          <w:rFonts w:eastAsia="Candara" w:cs="Candara"/>
        </w:rPr>
        <w:t>es</w:t>
      </w:r>
      <w:r w:rsidRPr="007223FB">
        <w:rPr>
          <w:rFonts w:eastAsia="Candara" w:cs="Candara"/>
          <w:spacing w:val="4"/>
        </w:rPr>
        <w:t xml:space="preserve"> </w:t>
      </w:r>
      <w:r w:rsidRPr="007223FB">
        <w:rPr>
          <w:rFonts w:eastAsia="Candara" w:cs="Candara"/>
        </w:rPr>
        <w:t>imp</w:t>
      </w:r>
      <w:r w:rsidRPr="007223FB">
        <w:rPr>
          <w:rFonts w:eastAsia="Candara" w:cs="Candara"/>
          <w:spacing w:val="-1"/>
        </w:rPr>
        <w:t>o</w:t>
      </w:r>
      <w:r w:rsidRPr="007223FB">
        <w:rPr>
          <w:rFonts w:eastAsia="Candara" w:cs="Candara"/>
          <w:spacing w:val="1"/>
        </w:rPr>
        <w:t>r</w:t>
      </w:r>
      <w:r w:rsidRPr="007223FB">
        <w:rPr>
          <w:rFonts w:eastAsia="Candara" w:cs="Candara"/>
        </w:rPr>
        <w:t>t</w:t>
      </w:r>
      <w:r w:rsidRPr="007223FB">
        <w:rPr>
          <w:rFonts w:eastAsia="Candara" w:cs="Candara"/>
          <w:spacing w:val="-2"/>
        </w:rPr>
        <w:t>a</w:t>
      </w:r>
      <w:r w:rsidRPr="007223FB">
        <w:rPr>
          <w:rFonts w:eastAsia="Candara" w:cs="Candara"/>
          <w:spacing w:val="1"/>
        </w:rPr>
        <w:t>n</w:t>
      </w:r>
      <w:r w:rsidRPr="007223FB">
        <w:rPr>
          <w:rFonts w:eastAsia="Candara" w:cs="Candara"/>
        </w:rPr>
        <w:t>te me</w:t>
      </w:r>
      <w:r w:rsidRPr="007223FB">
        <w:rPr>
          <w:rFonts w:eastAsia="Candara" w:cs="Candara"/>
          <w:spacing w:val="1"/>
        </w:rPr>
        <w:t>nc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spacing w:val="-2"/>
        </w:rPr>
        <w:t>a</w:t>
      </w:r>
      <w:r w:rsidRPr="007223FB">
        <w:rPr>
          <w:rFonts w:eastAsia="Candara" w:cs="Candara"/>
        </w:rPr>
        <w:t>r</w:t>
      </w:r>
      <w:r w:rsidRPr="007223FB">
        <w:rPr>
          <w:rFonts w:eastAsia="Candara" w:cs="Candara"/>
          <w:spacing w:val="4"/>
        </w:rPr>
        <w:t xml:space="preserve"> </w:t>
      </w:r>
      <w:r w:rsidRPr="007223FB">
        <w:rPr>
          <w:rFonts w:eastAsia="Candara" w:cs="Candara"/>
        </w:rPr>
        <w:t>que,</w:t>
      </w:r>
      <w:r w:rsidRPr="007223FB">
        <w:rPr>
          <w:rFonts w:eastAsia="Candara" w:cs="Candara"/>
          <w:spacing w:val="3"/>
        </w:rPr>
        <w:t xml:space="preserve"> </w:t>
      </w:r>
      <w:r w:rsidRPr="007223FB">
        <w:rPr>
          <w:rFonts w:eastAsia="Candara" w:cs="Candara"/>
          <w:spacing w:val="1"/>
        </w:rPr>
        <w:t>s</w:t>
      </w:r>
      <w:r w:rsidRPr="007223FB">
        <w:rPr>
          <w:rFonts w:eastAsia="Candara" w:cs="Candara"/>
        </w:rPr>
        <w:t>e</w:t>
      </w:r>
      <w:r w:rsidRPr="007223FB">
        <w:rPr>
          <w:rFonts w:eastAsia="Candara" w:cs="Candara"/>
          <w:spacing w:val="1"/>
        </w:rPr>
        <w:t>g</w:t>
      </w:r>
      <w:r w:rsidRPr="007223FB">
        <w:rPr>
          <w:rFonts w:eastAsia="Candara" w:cs="Candara"/>
        </w:rPr>
        <w:t>ún</w:t>
      </w:r>
      <w:r w:rsidRPr="007223FB">
        <w:rPr>
          <w:rFonts w:eastAsia="Candara" w:cs="Candara"/>
          <w:spacing w:val="4"/>
        </w:rPr>
        <w:t xml:space="preserve"> </w:t>
      </w:r>
      <w:r w:rsidRPr="007223FB">
        <w:rPr>
          <w:rFonts w:eastAsia="Candara" w:cs="Candara"/>
        </w:rPr>
        <w:t>la</w:t>
      </w:r>
      <w:r w:rsidRPr="007223FB">
        <w:rPr>
          <w:rFonts w:eastAsia="Candara" w:cs="Candara"/>
          <w:spacing w:val="1"/>
        </w:rPr>
        <w:t xml:space="preserve"> </w:t>
      </w:r>
      <w:r w:rsidRPr="007223FB">
        <w:rPr>
          <w:rFonts w:eastAsia="Candara" w:cs="Candara"/>
        </w:rPr>
        <w:t>met</w:t>
      </w:r>
      <w:r w:rsidRPr="007223FB">
        <w:rPr>
          <w:rFonts w:eastAsia="Candara" w:cs="Candara"/>
          <w:spacing w:val="-1"/>
        </w:rPr>
        <w:t>odo</w:t>
      </w:r>
      <w:r w:rsidRPr="007223FB">
        <w:rPr>
          <w:rFonts w:eastAsia="Candara" w:cs="Candara"/>
        </w:rPr>
        <w:t>l</w:t>
      </w:r>
      <w:r w:rsidRPr="007223FB">
        <w:rPr>
          <w:rFonts w:eastAsia="Candara" w:cs="Candara"/>
          <w:spacing w:val="-1"/>
        </w:rPr>
        <w:t>o</w:t>
      </w:r>
      <w:r w:rsidRPr="007223FB">
        <w:rPr>
          <w:rFonts w:eastAsia="Candara" w:cs="Candara"/>
          <w:spacing w:val="1"/>
        </w:rPr>
        <w:t>g</w:t>
      </w:r>
      <w:r w:rsidRPr="007223FB">
        <w:rPr>
          <w:rFonts w:eastAsia="Candara" w:cs="Candara"/>
        </w:rPr>
        <w:t>ía</w:t>
      </w:r>
      <w:r w:rsidRPr="007223FB">
        <w:rPr>
          <w:rFonts w:eastAsia="Candara" w:cs="Candara"/>
          <w:spacing w:val="3"/>
        </w:rPr>
        <w:t xml:space="preserve"> </w:t>
      </w:r>
      <w:r w:rsidRPr="007223FB">
        <w:rPr>
          <w:rFonts w:eastAsia="Candara" w:cs="Candara"/>
        </w:rPr>
        <w:t>e</w:t>
      </w:r>
      <w:r w:rsidRPr="007223FB">
        <w:rPr>
          <w:rFonts w:eastAsia="Candara" w:cs="Candara"/>
          <w:spacing w:val="1"/>
        </w:rPr>
        <w:t>s</w:t>
      </w:r>
      <w:r w:rsidRPr="007223FB">
        <w:rPr>
          <w:rFonts w:eastAsia="Candara" w:cs="Candara"/>
        </w:rPr>
        <w:t>tabl</w:t>
      </w:r>
      <w:r w:rsidRPr="007223FB">
        <w:rPr>
          <w:rFonts w:eastAsia="Candara" w:cs="Candara"/>
          <w:spacing w:val="-3"/>
        </w:rPr>
        <w:t>e</w:t>
      </w:r>
      <w:r w:rsidRPr="007223FB">
        <w:rPr>
          <w:rFonts w:eastAsia="Candara" w:cs="Candara"/>
          <w:spacing w:val="1"/>
        </w:rPr>
        <w:t>c</w:t>
      </w:r>
      <w:r w:rsidRPr="007223FB">
        <w:rPr>
          <w:rFonts w:eastAsia="Candara" w:cs="Candara"/>
        </w:rPr>
        <w:t>i</w:t>
      </w:r>
      <w:r w:rsidRPr="007223FB">
        <w:rPr>
          <w:rFonts w:eastAsia="Candara" w:cs="Candara"/>
          <w:spacing w:val="1"/>
        </w:rPr>
        <w:t>d</w:t>
      </w:r>
      <w:r w:rsidRPr="007223FB">
        <w:rPr>
          <w:rFonts w:eastAsia="Candara" w:cs="Candara"/>
        </w:rPr>
        <w:t>a</w:t>
      </w:r>
      <w:r w:rsidRPr="007223FB">
        <w:rPr>
          <w:rFonts w:eastAsia="Candara" w:cs="Candara"/>
          <w:spacing w:val="1"/>
        </w:rPr>
        <w:t xml:space="preserve"> </w:t>
      </w:r>
      <w:r w:rsidRPr="007223FB">
        <w:rPr>
          <w:rFonts w:eastAsia="Candara" w:cs="Candara"/>
        </w:rPr>
        <w:t>pa</w:t>
      </w:r>
      <w:r w:rsidRPr="007223FB">
        <w:rPr>
          <w:rFonts w:eastAsia="Candara" w:cs="Candara"/>
          <w:spacing w:val="1"/>
        </w:rPr>
        <w:t>r</w:t>
      </w:r>
      <w:r w:rsidRPr="007223FB">
        <w:rPr>
          <w:rFonts w:eastAsia="Candara" w:cs="Candara"/>
        </w:rPr>
        <w:t>a</w:t>
      </w:r>
      <w:r w:rsidRPr="007223FB">
        <w:rPr>
          <w:rFonts w:eastAsia="Candara" w:cs="Candara"/>
          <w:spacing w:val="3"/>
        </w:rPr>
        <w:t xml:space="preserve"> </w:t>
      </w:r>
      <w:r w:rsidRPr="007223FB">
        <w:rPr>
          <w:rFonts w:eastAsia="Candara" w:cs="Candara"/>
        </w:rPr>
        <w:t>e</w:t>
      </w:r>
      <w:r w:rsidRPr="007223FB">
        <w:rPr>
          <w:rFonts w:eastAsia="Candara" w:cs="Candara"/>
          <w:spacing w:val="1"/>
        </w:rPr>
        <w:t>s</w:t>
      </w:r>
      <w:r w:rsidRPr="007223FB">
        <w:rPr>
          <w:rFonts w:eastAsia="Candara" w:cs="Candara"/>
        </w:rPr>
        <w:t>te</w:t>
      </w:r>
      <w:r w:rsidRPr="007223FB">
        <w:rPr>
          <w:rFonts w:eastAsia="Candara" w:cs="Candara"/>
          <w:spacing w:val="3"/>
        </w:rPr>
        <w:t xml:space="preserve"> </w:t>
      </w:r>
      <w:r w:rsidRPr="007223FB">
        <w:rPr>
          <w:rFonts w:eastAsia="Candara" w:cs="Candara"/>
        </w:rPr>
        <w:t>i</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 xml:space="preserve">me, </w:t>
      </w:r>
      <w:r w:rsidRPr="007223FB">
        <w:rPr>
          <w:rFonts w:eastAsia="Candara" w:cs="Candara"/>
          <w:spacing w:val="1"/>
        </w:rPr>
        <w:t>s</w:t>
      </w:r>
      <w:r w:rsidRPr="007223FB">
        <w:rPr>
          <w:rFonts w:eastAsia="Candara" w:cs="Candara"/>
        </w:rPr>
        <w:t xml:space="preserve">e </w:t>
      </w:r>
      <w:r w:rsidRPr="007223FB">
        <w:rPr>
          <w:rFonts w:eastAsia="Candara" w:cs="Candara"/>
          <w:spacing w:val="1"/>
        </w:rPr>
        <w:t>c</w:t>
      </w:r>
      <w:r w:rsidRPr="007223FB">
        <w:rPr>
          <w:rFonts w:eastAsia="Candara" w:cs="Candara"/>
          <w:spacing w:val="-1"/>
        </w:rPr>
        <w:t>o</w:t>
      </w:r>
      <w:r w:rsidRPr="007223FB">
        <w:rPr>
          <w:rFonts w:eastAsia="Candara" w:cs="Candara"/>
          <w:spacing w:val="-2"/>
        </w:rPr>
        <w:t>n</w:t>
      </w:r>
      <w:r w:rsidRPr="007223FB">
        <w:rPr>
          <w:rFonts w:eastAsia="Candara" w:cs="Candara"/>
          <w:spacing w:val="1"/>
        </w:rPr>
        <w:t>s</w:t>
      </w:r>
      <w:r w:rsidRPr="007223FB">
        <w:rPr>
          <w:rFonts w:eastAsia="Candara" w:cs="Candara"/>
        </w:rPr>
        <w:t>i</w:t>
      </w:r>
      <w:r w:rsidRPr="007223FB">
        <w:rPr>
          <w:rFonts w:eastAsia="Candara" w:cs="Candara"/>
          <w:spacing w:val="1"/>
        </w:rPr>
        <w:t>d</w:t>
      </w:r>
      <w:r w:rsidRPr="007223FB">
        <w:rPr>
          <w:rFonts w:eastAsia="Candara" w:cs="Candara"/>
          <w:spacing w:val="-3"/>
        </w:rPr>
        <w:t>e</w:t>
      </w:r>
      <w:r w:rsidRPr="007223FB">
        <w:rPr>
          <w:rFonts w:eastAsia="Candara" w:cs="Candara"/>
          <w:spacing w:val="1"/>
        </w:rPr>
        <w:t>r</w:t>
      </w:r>
      <w:r w:rsidRPr="007223FB">
        <w:rPr>
          <w:rFonts w:eastAsia="Candara" w:cs="Candara"/>
        </w:rPr>
        <w:t xml:space="preserve">a que la </w:t>
      </w:r>
      <w:r w:rsidRPr="007223FB">
        <w:rPr>
          <w:rFonts w:eastAsia="Candara" w:cs="Candara"/>
          <w:spacing w:val="1"/>
        </w:rPr>
        <w:t>c</w:t>
      </w:r>
      <w:r w:rsidRPr="007223FB">
        <w:rPr>
          <w:rFonts w:eastAsia="Candara" w:cs="Candara"/>
          <w:spacing w:val="-1"/>
        </w:rPr>
        <w:t>o</w:t>
      </w:r>
      <w:r w:rsidRPr="007223FB">
        <w:rPr>
          <w:rFonts w:eastAsia="Candara" w:cs="Candara"/>
          <w:spacing w:val="1"/>
        </w:rPr>
        <w:t>n</w:t>
      </w:r>
      <w:r w:rsidRPr="007223FB">
        <w:rPr>
          <w:rFonts w:eastAsia="Candara" w:cs="Candara"/>
        </w:rPr>
        <w:t>ju</w:t>
      </w:r>
      <w:r w:rsidRPr="007223FB">
        <w:rPr>
          <w:rFonts w:eastAsia="Candara" w:cs="Candara"/>
          <w:spacing w:val="-1"/>
        </w:rPr>
        <w:t>g</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d</w:t>
      </w:r>
      <w:r w:rsidRPr="007223FB">
        <w:rPr>
          <w:rFonts w:eastAsia="Candara" w:cs="Candara"/>
        </w:rPr>
        <w:t>e 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2"/>
        </w:rPr>
        <w:t>i</w:t>
      </w:r>
      <w:r w:rsidRPr="007223FB">
        <w:rPr>
          <w:rFonts w:eastAsia="Candara" w:cs="Candara"/>
          <w:spacing w:val="1"/>
        </w:rPr>
        <w:t>nc</w:t>
      </w:r>
      <w:r w:rsidRPr="007223FB">
        <w:rPr>
          <w:rFonts w:eastAsia="Candara" w:cs="Candara"/>
        </w:rPr>
        <w:t>ipi</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efi</w:t>
      </w:r>
      <w:r w:rsidRPr="007223FB">
        <w:rPr>
          <w:rFonts w:eastAsia="Candara" w:cs="Candara"/>
          <w:spacing w:val="-1"/>
        </w:rPr>
        <w:t>c</w:t>
      </w:r>
      <w:r w:rsidRPr="007223FB">
        <w:rPr>
          <w:rFonts w:eastAsia="Candara" w:cs="Candara"/>
        </w:rPr>
        <w:t>ie</w:t>
      </w:r>
      <w:r w:rsidRPr="007223FB">
        <w:rPr>
          <w:rFonts w:eastAsia="Candara" w:cs="Candara"/>
          <w:spacing w:val="1"/>
        </w:rPr>
        <w:t>nc</w:t>
      </w:r>
      <w:r w:rsidRPr="007223FB">
        <w:rPr>
          <w:rFonts w:eastAsia="Candara" w:cs="Candara"/>
          <w:spacing w:val="-2"/>
        </w:rPr>
        <w:t>i</w:t>
      </w:r>
      <w:r w:rsidRPr="007223FB">
        <w:rPr>
          <w:rFonts w:eastAsia="Candara" w:cs="Candara"/>
        </w:rPr>
        <w:t>a, efi</w:t>
      </w:r>
      <w:r w:rsidRPr="007223FB">
        <w:rPr>
          <w:rFonts w:eastAsia="Candara" w:cs="Candara"/>
          <w:spacing w:val="1"/>
        </w:rPr>
        <w:t>c</w:t>
      </w:r>
      <w:r w:rsidRPr="007223FB">
        <w:rPr>
          <w:rFonts w:eastAsia="Candara" w:cs="Candara"/>
        </w:rPr>
        <w:t>a</w:t>
      </w:r>
      <w:r w:rsidRPr="007223FB">
        <w:rPr>
          <w:rFonts w:eastAsia="Candara" w:cs="Candara"/>
          <w:spacing w:val="1"/>
        </w:rPr>
        <w:t>c</w:t>
      </w:r>
      <w:r w:rsidRPr="007223FB">
        <w:rPr>
          <w:rFonts w:eastAsia="Candara" w:cs="Candara"/>
        </w:rPr>
        <w:t>ia y</w:t>
      </w:r>
      <w:r w:rsidRPr="007223FB">
        <w:rPr>
          <w:rFonts w:eastAsia="Candara" w:cs="Candara"/>
          <w:spacing w:val="1"/>
        </w:rPr>
        <w:t xml:space="preserve"> </w:t>
      </w:r>
      <w:r w:rsidRPr="007223FB">
        <w:rPr>
          <w:rFonts w:eastAsia="Candara" w:cs="Candara"/>
        </w:rPr>
        <w:t>la eq</w:t>
      </w:r>
      <w:r w:rsidRPr="007223FB">
        <w:rPr>
          <w:rFonts w:eastAsia="Candara" w:cs="Candara"/>
          <w:spacing w:val="-3"/>
        </w:rPr>
        <w:t>u</w:t>
      </w:r>
      <w:r w:rsidRPr="007223FB">
        <w:rPr>
          <w:rFonts w:eastAsia="Candara" w:cs="Candara"/>
        </w:rPr>
        <w:t>i</w:t>
      </w:r>
      <w:r w:rsidRPr="007223FB">
        <w:rPr>
          <w:rFonts w:eastAsia="Candara" w:cs="Candara"/>
          <w:spacing w:val="1"/>
        </w:rPr>
        <w:t>d</w:t>
      </w:r>
      <w:r w:rsidRPr="007223FB">
        <w:rPr>
          <w:rFonts w:eastAsia="Candara" w:cs="Candara"/>
        </w:rPr>
        <w:t>a</w:t>
      </w:r>
      <w:r w:rsidRPr="007223FB">
        <w:rPr>
          <w:rFonts w:eastAsia="Candara" w:cs="Candara"/>
          <w:spacing w:val="1"/>
        </w:rPr>
        <w:t>d</w:t>
      </w:r>
      <w:r w:rsidRPr="007223FB">
        <w:rPr>
          <w:rFonts w:eastAsia="Candara" w:cs="Candara"/>
        </w:rPr>
        <w:t xml:space="preserve">, </w:t>
      </w:r>
      <w:r w:rsidRPr="007223FB">
        <w:rPr>
          <w:rFonts w:eastAsia="Candara" w:cs="Candara"/>
          <w:spacing w:val="1"/>
        </w:rPr>
        <w:t>c</w:t>
      </w:r>
      <w:r w:rsidRPr="007223FB">
        <w:rPr>
          <w:rFonts w:eastAsia="Candara" w:cs="Candara"/>
          <w:spacing w:val="-3"/>
        </w:rPr>
        <w:t>o</w:t>
      </w:r>
      <w:r w:rsidRPr="007223FB">
        <w:rPr>
          <w:rFonts w:eastAsia="Candara" w:cs="Candara"/>
          <w:spacing w:val="1"/>
        </w:rPr>
        <w:t>ns</w:t>
      </w:r>
      <w:r w:rsidRPr="007223FB">
        <w:rPr>
          <w:rFonts w:eastAsia="Candara" w:cs="Candara"/>
        </w:rPr>
        <w:t>tit</w:t>
      </w:r>
      <w:r w:rsidRPr="007223FB">
        <w:rPr>
          <w:rFonts w:eastAsia="Candara" w:cs="Candara"/>
          <w:spacing w:val="-3"/>
        </w:rPr>
        <w:t>u</w:t>
      </w:r>
      <w:r w:rsidRPr="007223FB">
        <w:rPr>
          <w:rFonts w:eastAsia="Candara" w:cs="Candara"/>
          <w:spacing w:val="1"/>
        </w:rPr>
        <w:t>y</w:t>
      </w:r>
      <w:r w:rsidRPr="007223FB">
        <w:rPr>
          <w:rFonts w:eastAsia="Candara" w:cs="Candara"/>
        </w:rPr>
        <w:t>en l</w:t>
      </w:r>
      <w:r w:rsidRPr="007223FB">
        <w:rPr>
          <w:rFonts w:eastAsia="Candara" w:cs="Candara"/>
          <w:spacing w:val="-1"/>
        </w:rPr>
        <w:t>o</w:t>
      </w:r>
      <w:r w:rsidRPr="007223FB">
        <w:rPr>
          <w:rFonts w:eastAsia="Candara" w:cs="Candara"/>
        </w:rPr>
        <w:t>s</w:t>
      </w:r>
      <w:r w:rsidRPr="007223FB">
        <w:rPr>
          <w:rFonts w:eastAsia="Candara" w:cs="Candara"/>
          <w:spacing w:val="7"/>
        </w:rPr>
        <w:t xml:space="preserve"> </w:t>
      </w:r>
      <w:r w:rsidRPr="007223FB">
        <w:rPr>
          <w:rFonts w:eastAsia="Candara" w:cs="Candara"/>
        </w:rPr>
        <w:t>pa</w:t>
      </w:r>
      <w:r w:rsidRPr="007223FB">
        <w:rPr>
          <w:rFonts w:eastAsia="Candara" w:cs="Candara"/>
          <w:spacing w:val="1"/>
        </w:rPr>
        <w:t>r</w:t>
      </w:r>
      <w:r w:rsidRPr="007223FB">
        <w:rPr>
          <w:rFonts w:eastAsia="Candara" w:cs="Candara"/>
        </w:rPr>
        <w:t>áme</w:t>
      </w:r>
      <w:r w:rsidRPr="007223FB">
        <w:rPr>
          <w:rFonts w:eastAsia="Candara" w:cs="Candara"/>
          <w:spacing w:val="-2"/>
        </w:rPr>
        <w:t>t</w:t>
      </w:r>
      <w:r w:rsidRPr="007223FB">
        <w:rPr>
          <w:rFonts w:eastAsia="Candara" w:cs="Candara"/>
          <w:spacing w:val="1"/>
        </w:rPr>
        <w:t>r</w:t>
      </w:r>
      <w:r w:rsidRPr="007223FB">
        <w:rPr>
          <w:rFonts w:eastAsia="Candara" w:cs="Candara"/>
          <w:spacing w:val="-1"/>
        </w:rPr>
        <w:t>o</w:t>
      </w:r>
      <w:r w:rsidRPr="007223FB">
        <w:rPr>
          <w:rFonts w:eastAsia="Candara" w:cs="Candara"/>
        </w:rPr>
        <w:t>s</w:t>
      </w:r>
      <w:r w:rsidRPr="007223FB">
        <w:rPr>
          <w:rFonts w:eastAsia="Candara" w:cs="Candara"/>
          <w:spacing w:val="5"/>
        </w:rPr>
        <w:t xml:space="preserve"> </w:t>
      </w:r>
      <w:r w:rsidRPr="007223FB">
        <w:rPr>
          <w:rFonts w:eastAsia="Candara" w:cs="Candara"/>
          <w:spacing w:val="1"/>
        </w:rPr>
        <w:t>n</w:t>
      </w:r>
      <w:r w:rsidRPr="007223FB">
        <w:rPr>
          <w:rFonts w:eastAsia="Candara" w:cs="Candara"/>
        </w:rPr>
        <w:t>e</w:t>
      </w:r>
      <w:r w:rsidRPr="007223FB">
        <w:rPr>
          <w:rFonts w:eastAsia="Candara" w:cs="Candara"/>
          <w:spacing w:val="1"/>
        </w:rPr>
        <w:t>c</w:t>
      </w:r>
      <w:r w:rsidRPr="007223FB">
        <w:rPr>
          <w:rFonts w:eastAsia="Candara" w:cs="Candara"/>
          <w:spacing w:val="-3"/>
        </w:rPr>
        <w:t>e</w:t>
      </w:r>
      <w:r w:rsidRPr="007223FB">
        <w:rPr>
          <w:rFonts w:eastAsia="Candara" w:cs="Candara"/>
          <w:spacing w:val="1"/>
        </w:rPr>
        <w:t>s</w:t>
      </w:r>
      <w:r w:rsidRPr="007223FB">
        <w:rPr>
          <w:rFonts w:eastAsia="Candara" w:cs="Candara"/>
        </w:rPr>
        <w:t>a</w:t>
      </w:r>
      <w:r w:rsidRPr="007223FB">
        <w:rPr>
          <w:rFonts w:eastAsia="Candara" w:cs="Candara"/>
          <w:spacing w:val="1"/>
        </w:rPr>
        <w:t>r</w:t>
      </w:r>
      <w:r w:rsidRPr="007223FB">
        <w:rPr>
          <w:rFonts w:eastAsia="Candara" w:cs="Candara"/>
        </w:rPr>
        <w:t>i</w:t>
      </w:r>
      <w:r w:rsidRPr="007223FB">
        <w:rPr>
          <w:rFonts w:eastAsia="Candara" w:cs="Candara"/>
          <w:spacing w:val="-3"/>
        </w:rPr>
        <w:t>o</w:t>
      </w:r>
      <w:r w:rsidRPr="007223FB">
        <w:rPr>
          <w:rFonts w:eastAsia="Candara" w:cs="Candara"/>
        </w:rPr>
        <w:t>s</w:t>
      </w:r>
      <w:r w:rsidRPr="007223FB">
        <w:rPr>
          <w:rFonts w:eastAsia="Candara" w:cs="Candara"/>
          <w:spacing w:val="7"/>
        </w:rPr>
        <w:t xml:space="preserve"> </w:t>
      </w:r>
      <w:r w:rsidRPr="007223FB">
        <w:rPr>
          <w:rFonts w:eastAsia="Candara" w:cs="Candara"/>
        </w:rPr>
        <w:t>pa</w:t>
      </w:r>
      <w:r w:rsidRPr="007223FB">
        <w:rPr>
          <w:rFonts w:eastAsia="Candara" w:cs="Candara"/>
          <w:spacing w:val="1"/>
        </w:rPr>
        <w:t>r</w:t>
      </w:r>
      <w:r w:rsidRPr="007223FB">
        <w:rPr>
          <w:rFonts w:eastAsia="Candara" w:cs="Candara"/>
        </w:rPr>
        <w:t>a</w:t>
      </w:r>
      <w:r w:rsidRPr="007223FB">
        <w:rPr>
          <w:rFonts w:eastAsia="Candara" w:cs="Candara"/>
          <w:spacing w:val="3"/>
        </w:rPr>
        <w:t xml:space="preserve"> </w:t>
      </w:r>
      <w:r w:rsidRPr="007223FB">
        <w:rPr>
          <w:rFonts w:eastAsia="Candara" w:cs="Candara"/>
        </w:rPr>
        <w:t>me</w:t>
      </w:r>
      <w:r w:rsidRPr="007223FB">
        <w:rPr>
          <w:rFonts w:eastAsia="Candara" w:cs="Candara"/>
          <w:spacing w:val="1"/>
        </w:rPr>
        <w:t>d</w:t>
      </w:r>
      <w:r w:rsidRPr="007223FB">
        <w:rPr>
          <w:rFonts w:eastAsia="Candara" w:cs="Candara"/>
          <w:spacing w:val="-2"/>
        </w:rPr>
        <w:t>i</w:t>
      </w:r>
      <w:r w:rsidRPr="007223FB">
        <w:rPr>
          <w:rFonts w:eastAsia="Candara" w:cs="Candara"/>
        </w:rPr>
        <w:t>r</w:t>
      </w:r>
      <w:r w:rsidRPr="007223FB">
        <w:rPr>
          <w:rFonts w:eastAsia="Candara" w:cs="Candara"/>
          <w:spacing w:val="7"/>
        </w:rPr>
        <w:t xml:space="preserve"> </w:t>
      </w:r>
      <w:r w:rsidRPr="007223FB">
        <w:rPr>
          <w:rFonts w:eastAsia="Candara" w:cs="Candara"/>
        </w:rPr>
        <w:t>la</w:t>
      </w:r>
      <w:r w:rsidRPr="007223FB">
        <w:rPr>
          <w:rFonts w:eastAsia="Candara" w:cs="Candara"/>
          <w:spacing w:val="6"/>
        </w:rPr>
        <w:t xml:space="preserve"> </w:t>
      </w:r>
      <w:r w:rsidRPr="007223FB">
        <w:rPr>
          <w:rFonts w:eastAsia="Candara" w:cs="Candara"/>
          <w:spacing w:val="-3"/>
        </w:rPr>
        <w:t>“</w:t>
      </w:r>
      <w:r w:rsidRPr="007223FB">
        <w:rPr>
          <w:rFonts w:eastAsia="Candara" w:cs="Candara"/>
          <w:spacing w:val="1"/>
        </w:rPr>
        <w:t>C</w:t>
      </w:r>
      <w:r w:rsidRPr="007223FB">
        <w:rPr>
          <w:rFonts w:eastAsia="Candara" w:cs="Candara"/>
        </w:rPr>
        <w:t>ali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5"/>
        </w:rPr>
        <w:t xml:space="preserve"> </w:t>
      </w:r>
      <w:r w:rsidRPr="007223FB">
        <w:rPr>
          <w:rFonts w:eastAsia="Candara" w:cs="Candara"/>
          <w:spacing w:val="1"/>
        </w:rPr>
        <w:t>d</w:t>
      </w:r>
      <w:r w:rsidRPr="007223FB">
        <w:rPr>
          <w:rFonts w:eastAsia="Candara" w:cs="Candara"/>
        </w:rPr>
        <w:t>el</w:t>
      </w:r>
      <w:r w:rsidRPr="007223FB">
        <w:rPr>
          <w:rFonts w:eastAsia="Candara" w:cs="Candara"/>
          <w:spacing w:val="5"/>
        </w:rPr>
        <w:t xml:space="preserve"> </w:t>
      </w:r>
      <w:r w:rsidRPr="007223FB">
        <w:rPr>
          <w:rFonts w:eastAsia="Candara" w:cs="Candara"/>
        </w:rPr>
        <w:t>Ga</w:t>
      </w:r>
      <w:r w:rsidRPr="007223FB">
        <w:rPr>
          <w:rFonts w:eastAsia="Candara" w:cs="Candara"/>
          <w:spacing w:val="-1"/>
        </w:rPr>
        <w:t>s</w:t>
      </w:r>
      <w:r w:rsidRPr="007223FB">
        <w:rPr>
          <w:rFonts w:eastAsia="Candara" w:cs="Candara"/>
        </w:rPr>
        <w:t>t</w:t>
      </w:r>
      <w:r w:rsidRPr="007223FB">
        <w:rPr>
          <w:rFonts w:eastAsia="Candara" w:cs="Candara"/>
          <w:spacing w:val="-1"/>
        </w:rPr>
        <w:t>o”</w:t>
      </w:r>
      <w:r w:rsidRPr="007223FB">
        <w:rPr>
          <w:rFonts w:eastAsia="Candara" w:cs="Candara"/>
        </w:rPr>
        <w:t>,</w:t>
      </w:r>
      <w:r w:rsidRPr="007223FB">
        <w:rPr>
          <w:rFonts w:eastAsia="Candara" w:cs="Candara"/>
          <w:spacing w:val="6"/>
        </w:rPr>
        <w:t xml:space="preserve"> </w:t>
      </w:r>
      <w:r w:rsidRPr="007223FB">
        <w:rPr>
          <w:rFonts w:eastAsia="Candara" w:cs="Candara"/>
        </w:rPr>
        <w:t>e</w:t>
      </w:r>
      <w:r w:rsidRPr="007223FB">
        <w:rPr>
          <w:rFonts w:eastAsia="Candara" w:cs="Candara"/>
          <w:spacing w:val="1"/>
        </w:rPr>
        <w:t>n</w:t>
      </w:r>
      <w:r w:rsidRPr="007223FB">
        <w:rPr>
          <w:rFonts w:eastAsia="Candara" w:cs="Candara"/>
        </w:rPr>
        <w:t>te</w:t>
      </w:r>
      <w:r w:rsidRPr="007223FB">
        <w:rPr>
          <w:rFonts w:eastAsia="Candara" w:cs="Candara"/>
          <w:spacing w:val="-2"/>
        </w:rPr>
        <w:t>n</w:t>
      </w:r>
      <w:r w:rsidRPr="007223FB">
        <w:rPr>
          <w:rFonts w:eastAsia="Candara" w:cs="Candara"/>
          <w:spacing w:val="1"/>
        </w:rPr>
        <w:t>d</w:t>
      </w:r>
      <w:r w:rsidRPr="007223FB">
        <w:rPr>
          <w:rFonts w:eastAsia="Candara" w:cs="Candara"/>
        </w:rPr>
        <w:t>ie</w:t>
      </w:r>
      <w:r w:rsidRPr="007223FB">
        <w:rPr>
          <w:rFonts w:eastAsia="Candara" w:cs="Candara"/>
          <w:spacing w:val="1"/>
        </w:rPr>
        <w:t>nd</w:t>
      </w:r>
      <w:r w:rsidRPr="007223FB">
        <w:rPr>
          <w:rFonts w:eastAsia="Candara" w:cs="Candara"/>
        </w:rPr>
        <w:t xml:space="preserve">o </w:t>
      </w:r>
      <w:r w:rsidRPr="007223FB">
        <w:rPr>
          <w:rFonts w:eastAsia="Candara" w:cs="Candara"/>
          <w:spacing w:val="1"/>
        </w:rPr>
        <w:t>c</w:t>
      </w:r>
      <w:r w:rsidRPr="007223FB">
        <w:rPr>
          <w:rFonts w:eastAsia="Candara" w:cs="Candara"/>
        </w:rPr>
        <w:t>a</w:t>
      </w:r>
      <w:r w:rsidRPr="007223FB">
        <w:rPr>
          <w:rFonts w:eastAsia="Candara" w:cs="Candara"/>
          <w:spacing w:val="1"/>
        </w:rPr>
        <w:t>d</w:t>
      </w:r>
      <w:r w:rsidRPr="007223FB">
        <w:rPr>
          <w:rFonts w:eastAsia="Candara" w:cs="Candara"/>
        </w:rPr>
        <w:t>a</w:t>
      </w:r>
      <w:r w:rsidRPr="007223FB">
        <w:rPr>
          <w:rFonts w:eastAsia="Candara" w:cs="Candara"/>
          <w:spacing w:val="6"/>
        </w:rPr>
        <w:t xml:space="preserve"> </w:t>
      </w:r>
      <w:r w:rsidRPr="007223FB">
        <w:rPr>
          <w:rFonts w:eastAsia="Candara" w:cs="Candara"/>
          <w:spacing w:val="-3"/>
        </w:rPr>
        <w:t>u</w:t>
      </w:r>
      <w:r w:rsidRPr="007223FB">
        <w:rPr>
          <w:rFonts w:eastAsia="Candara" w:cs="Candara"/>
          <w:spacing w:val="1"/>
        </w:rPr>
        <w:t>n</w:t>
      </w:r>
      <w:r w:rsidRPr="007223FB">
        <w:rPr>
          <w:rFonts w:eastAsia="Candara" w:cs="Candara"/>
        </w:rPr>
        <w:t>o</w:t>
      </w:r>
      <w:r w:rsidRPr="007223FB">
        <w:rPr>
          <w:rFonts w:eastAsia="Candara" w:cs="Candara"/>
          <w:spacing w:val="5"/>
        </w:rPr>
        <w:t xml:space="preserve"> </w:t>
      </w:r>
      <w:r w:rsidRPr="007223FB">
        <w:rPr>
          <w:rFonts w:eastAsia="Candara" w:cs="Candara"/>
          <w:spacing w:val="1"/>
        </w:rPr>
        <w:t>d</w:t>
      </w:r>
      <w:r w:rsidRPr="007223FB">
        <w:rPr>
          <w:rFonts w:eastAsia="Candara" w:cs="Candara"/>
        </w:rPr>
        <w:t>e</w:t>
      </w:r>
      <w:r w:rsidRPr="007223FB">
        <w:rPr>
          <w:rFonts w:eastAsia="Candara" w:cs="Candara"/>
          <w:spacing w:val="6"/>
        </w:rPr>
        <w:t xml:space="preserve"> </w:t>
      </w:r>
      <w:r w:rsidRPr="007223FB">
        <w:rPr>
          <w:rFonts w:eastAsia="Candara" w:cs="Candara"/>
          <w:spacing w:val="-3"/>
        </w:rPr>
        <w:t>e</w:t>
      </w:r>
      <w:r w:rsidRPr="007223FB">
        <w:rPr>
          <w:rFonts w:eastAsia="Candara" w:cs="Candara"/>
          <w:spacing w:val="1"/>
        </w:rPr>
        <w:t>s</w:t>
      </w:r>
      <w:r w:rsidRPr="007223FB">
        <w:rPr>
          <w:rFonts w:eastAsia="Candara" w:cs="Candara"/>
        </w:rPr>
        <w:t>t</w:t>
      </w:r>
      <w:r w:rsidRPr="007223FB">
        <w:rPr>
          <w:rFonts w:eastAsia="Candara" w:cs="Candara"/>
          <w:spacing w:val="-3"/>
        </w:rPr>
        <w:t>o</w:t>
      </w:r>
      <w:r w:rsidRPr="007223FB">
        <w:rPr>
          <w:rFonts w:eastAsia="Candara" w:cs="Candara"/>
        </w:rPr>
        <w:t>s p</w:t>
      </w:r>
      <w:r w:rsidRPr="007223FB">
        <w:rPr>
          <w:rFonts w:eastAsia="Candara" w:cs="Candara"/>
          <w:spacing w:val="1"/>
        </w:rPr>
        <w:t>r</w:t>
      </w:r>
      <w:r w:rsidRPr="007223FB">
        <w:rPr>
          <w:rFonts w:eastAsia="Candara" w:cs="Candara"/>
        </w:rPr>
        <w:t>i</w:t>
      </w:r>
      <w:r w:rsidRPr="007223FB">
        <w:rPr>
          <w:rFonts w:eastAsia="Candara" w:cs="Candara"/>
          <w:spacing w:val="-2"/>
        </w:rPr>
        <w:t>n</w:t>
      </w:r>
      <w:r w:rsidRPr="007223FB">
        <w:rPr>
          <w:rFonts w:eastAsia="Candara" w:cs="Candara"/>
          <w:spacing w:val="1"/>
        </w:rPr>
        <w:t>c</w:t>
      </w:r>
      <w:r w:rsidRPr="007223FB">
        <w:rPr>
          <w:rFonts w:eastAsia="Candara" w:cs="Candara"/>
        </w:rPr>
        <w:t>ipi</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spacing w:val="1"/>
        </w:rPr>
        <w:t>d</w:t>
      </w:r>
      <w:r w:rsidRPr="007223FB">
        <w:rPr>
          <w:rFonts w:eastAsia="Candara" w:cs="Candara"/>
        </w:rPr>
        <w:t>e la ma</w:t>
      </w:r>
      <w:r w:rsidRPr="007223FB">
        <w:rPr>
          <w:rFonts w:eastAsia="Candara" w:cs="Candara"/>
          <w:spacing w:val="1"/>
        </w:rPr>
        <w:t>n</w:t>
      </w:r>
      <w:r w:rsidRPr="007223FB">
        <w:rPr>
          <w:rFonts w:eastAsia="Candara" w:cs="Candara"/>
          <w:spacing w:val="-3"/>
        </w:rPr>
        <w:t>e</w:t>
      </w:r>
      <w:r w:rsidRPr="007223FB">
        <w:rPr>
          <w:rFonts w:eastAsia="Candara" w:cs="Candara"/>
          <w:spacing w:val="1"/>
        </w:rPr>
        <w:t>r</w:t>
      </w:r>
      <w:r w:rsidRPr="007223FB">
        <w:rPr>
          <w:rFonts w:eastAsia="Candara" w:cs="Candara"/>
        </w:rPr>
        <w:t xml:space="preserve">a </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rPr>
        <w:t>uie</w:t>
      </w:r>
      <w:r w:rsidRPr="007223FB">
        <w:rPr>
          <w:rFonts w:eastAsia="Candara" w:cs="Candara"/>
          <w:spacing w:val="1"/>
        </w:rPr>
        <w:t>n</w:t>
      </w:r>
      <w:r w:rsidRPr="007223FB">
        <w:rPr>
          <w:rFonts w:eastAsia="Candara" w:cs="Candara"/>
        </w:rPr>
        <w:t>te:</w:t>
      </w:r>
    </w:p>
    <w:p w:rsidR="00F73BA8" w:rsidRPr="007223FB" w:rsidRDefault="00F73BA8" w:rsidP="006C13F5">
      <w:pPr>
        <w:spacing w:before="120" w:after="120" w:line="240" w:lineRule="auto"/>
        <w:ind w:left="462" w:right="-20"/>
        <w:rPr>
          <w:rFonts w:eastAsia="Candara" w:cs="Candara"/>
          <w:b/>
        </w:rPr>
      </w:pPr>
      <w:r w:rsidRPr="007223FB">
        <w:rPr>
          <w:rFonts w:eastAsia="Candara" w:cs="Candara"/>
          <w:b/>
        </w:rPr>
        <w:t xml:space="preserve">a.   </w:t>
      </w:r>
      <w:r w:rsidRPr="007223FB">
        <w:rPr>
          <w:rFonts w:eastAsia="Candara" w:cs="Candara"/>
          <w:b/>
          <w:spacing w:val="5"/>
        </w:rPr>
        <w:t xml:space="preserve"> </w:t>
      </w:r>
      <w:r w:rsidRPr="007223FB">
        <w:rPr>
          <w:rFonts w:eastAsia="Candara" w:cs="Candara"/>
          <w:b/>
          <w:spacing w:val="1"/>
        </w:rPr>
        <w:t>Pr</w:t>
      </w:r>
      <w:r w:rsidRPr="007223FB">
        <w:rPr>
          <w:rFonts w:eastAsia="Candara" w:cs="Candara"/>
          <w:b/>
        </w:rPr>
        <w:t>i</w:t>
      </w:r>
      <w:r w:rsidRPr="007223FB">
        <w:rPr>
          <w:rFonts w:eastAsia="Candara" w:cs="Candara"/>
          <w:b/>
          <w:spacing w:val="-2"/>
        </w:rPr>
        <w:t>n</w:t>
      </w:r>
      <w:r w:rsidRPr="007223FB">
        <w:rPr>
          <w:rFonts w:eastAsia="Candara" w:cs="Candara"/>
          <w:b/>
          <w:spacing w:val="1"/>
        </w:rPr>
        <w:t>c</w:t>
      </w:r>
      <w:r w:rsidRPr="007223FB">
        <w:rPr>
          <w:rFonts w:eastAsia="Candara" w:cs="Candara"/>
          <w:b/>
        </w:rPr>
        <w:t xml:space="preserve">ipio </w:t>
      </w:r>
      <w:r w:rsidRPr="007223FB">
        <w:rPr>
          <w:rFonts w:eastAsia="Candara" w:cs="Candara"/>
          <w:b/>
          <w:spacing w:val="1"/>
        </w:rPr>
        <w:t>d</w:t>
      </w:r>
      <w:r w:rsidRPr="007223FB">
        <w:rPr>
          <w:rFonts w:eastAsia="Candara" w:cs="Candara"/>
          <w:b/>
        </w:rPr>
        <w:t>e</w:t>
      </w:r>
      <w:r w:rsidRPr="007223FB">
        <w:rPr>
          <w:rFonts w:eastAsia="Candara" w:cs="Candara"/>
          <w:b/>
          <w:spacing w:val="-2"/>
        </w:rPr>
        <w:t xml:space="preserve"> </w:t>
      </w:r>
      <w:r w:rsidRPr="007223FB">
        <w:rPr>
          <w:rFonts w:eastAsia="Candara" w:cs="Candara"/>
          <w:b/>
        </w:rPr>
        <w:t>Le</w:t>
      </w:r>
      <w:r w:rsidRPr="007223FB">
        <w:rPr>
          <w:rFonts w:eastAsia="Candara" w:cs="Candara"/>
          <w:b/>
          <w:spacing w:val="1"/>
        </w:rPr>
        <w:t>g</w:t>
      </w:r>
      <w:r w:rsidRPr="007223FB">
        <w:rPr>
          <w:rFonts w:eastAsia="Candara" w:cs="Candara"/>
          <w:b/>
        </w:rPr>
        <w:t>al</w:t>
      </w:r>
      <w:r w:rsidRPr="007223FB">
        <w:rPr>
          <w:rFonts w:eastAsia="Candara" w:cs="Candara"/>
          <w:b/>
          <w:spacing w:val="-2"/>
        </w:rPr>
        <w:t>i</w:t>
      </w:r>
      <w:r w:rsidRPr="007223FB">
        <w:rPr>
          <w:rFonts w:eastAsia="Candara" w:cs="Candara"/>
          <w:b/>
          <w:spacing w:val="1"/>
        </w:rPr>
        <w:t>d</w:t>
      </w:r>
      <w:r w:rsidRPr="007223FB">
        <w:rPr>
          <w:rFonts w:eastAsia="Candara" w:cs="Candara"/>
          <w:b/>
        </w:rPr>
        <w:t>ad</w:t>
      </w:r>
    </w:p>
    <w:p w:rsidR="00F73BA8" w:rsidRPr="007223FB" w:rsidRDefault="00F73BA8" w:rsidP="006C13F5">
      <w:pPr>
        <w:spacing w:before="120" w:after="120" w:line="240" w:lineRule="auto"/>
        <w:ind w:left="810" w:right="59"/>
        <w:rPr>
          <w:rFonts w:eastAsia="Candara" w:cs="Candara"/>
        </w:rPr>
      </w:pPr>
      <w:r w:rsidRPr="007223FB">
        <w:rPr>
          <w:rFonts w:eastAsia="Candara" w:cs="Candara"/>
        </w:rPr>
        <w:t>Defi</w:t>
      </w:r>
      <w:r w:rsidRPr="007223FB">
        <w:rPr>
          <w:rFonts w:eastAsia="Candara" w:cs="Candara"/>
          <w:spacing w:val="1"/>
        </w:rPr>
        <w:t>n</w:t>
      </w:r>
      <w:r w:rsidRPr="007223FB">
        <w:rPr>
          <w:rFonts w:eastAsia="Candara" w:cs="Candara"/>
        </w:rPr>
        <w:t>i</w:t>
      </w:r>
      <w:r w:rsidRPr="007223FB">
        <w:rPr>
          <w:rFonts w:eastAsia="Candara" w:cs="Candara"/>
          <w:spacing w:val="1"/>
        </w:rPr>
        <w:t>d</w:t>
      </w:r>
      <w:r w:rsidRPr="007223FB">
        <w:rPr>
          <w:rFonts w:eastAsia="Candara" w:cs="Candara"/>
        </w:rPr>
        <w:t xml:space="preserve">o </w:t>
      </w:r>
      <w:r w:rsidRPr="007223FB">
        <w:rPr>
          <w:rFonts w:eastAsia="Candara" w:cs="Candara"/>
          <w:spacing w:val="1"/>
        </w:rPr>
        <w:t>c</w:t>
      </w:r>
      <w:r w:rsidRPr="007223FB">
        <w:rPr>
          <w:rFonts w:eastAsia="Candara" w:cs="Candara"/>
          <w:spacing w:val="-1"/>
        </w:rPr>
        <w:t>o</w:t>
      </w:r>
      <w:r w:rsidRPr="007223FB">
        <w:rPr>
          <w:rFonts w:eastAsia="Candara" w:cs="Candara"/>
        </w:rPr>
        <w:t>mo</w:t>
      </w:r>
      <w:r w:rsidRPr="007223FB">
        <w:rPr>
          <w:rFonts w:eastAsia="Candara" w:cs="Candara"/>
          <w:spacing w:val="3"/>
        </w:rPr>
        <w:t xml:space="preserve"> </w:t>
      </w:r>
      <w:r w:rsidRPr="007223FB">
        <w:rPr>
          <w:rFonts w:eastAsia="Candara" w:cs="Candara"/>
        </w:rPr>
        <w:t>la</w:t>
      </w:r>
      <w:r w:rsidRPr="007223FB">
        <w:rPr>
          <w:rFonts w:eastAsia="Candara" w:cs="Candara"/>
          <w:spacing w:val="3"/>
        </w:rPr>
        <w:t xml:space="preserve"> </w:t>
      </w:r>
      <w:r w:rsidRPr="007223FB">
        <w:rPr>
          <w:rFonts w:eastAsia="Candara" w:cs="Candara"/>
        </w:rPr>
        <w:t>p</w:t>
      </w:r>
      <w:r w:rsidRPr="007223FB">
        <w:rPr>
          <w:rFonts w:eastAsia="Candara" w:cs="Candara"/>
          <w:spacing w:val="1"/>
        </w:rPr>
        <w:t>r</w:t>
      </w:r>
      <w:r w:rsidRPr="007223FB">
        <w:rPr>
          <w:rFonts w:eastAsia="Candara" w:cs="Candara"/>
        </w:rPr>
        <w:t>eval</w:t>
      </w:r>
      <w:r w:rsidRPr="007223FB">
        <w:rPr>
          <w:rFonts w:eastAsia="Candara" w:cs="Candara"/>
          <w:spacing w:val="-3"/>
        </w:rPr>
        <w:t>e</w:t>
      </w:r>
      <w:r w:rsidRPr="007223FB">
        <w:rPr>
          <w:rFonts w:eastAsia="Candara" w:cs="Candara"/>
          <w:spacing w:val="1"/>
        </w:rPr>
        <w:t>nc</w:t>
      </w:r>
      <w:r w:rsidRPr="007223FB">
        <w:rPr>
          <w:rFonts w:eastAsia="Candara" w:cs="Candara"/>
        </w:rPr>
        <w:t>ia</w:t>
      </w:r>
      <w:r w:rsidRPr="007223FB">
        <w:rPr>
          <w:rFonts w:eastAsia="Candara" w:cs="Candara"/>
          <w:spacing w:val="1"/>
        </w:rPr>
        <w:t xml:space="preserve"> d</w:t>
      </w:r>
      <w:r w:rsidRPr="007223FB">
        <w:rPr>
          <w:rFonts w:eastAsia="Candara" w:cs="Candara"/>
        </w:rPr>
        <w:t>e</w:t>
      </w:r>
      <w:r w:rsidRPr="007223FB">
        <w:rPr>
          <w:rFonts w:eastAsia="Candara" w:cs="Candara"/>
          <w:spacing w:val="3"/>
        </w:rPr>
        <w:t xml:space="preserve"> </w:t>
      </w:r>
      <w:r w:rsidRPr="007223FB">
        <w:rPr>
          <w:rFonts w:eastAsia="Candara" w:cs="Candara"/>
        </w:rPr>
        <w:t>la</w:t>
      </w:r>
      <w:r w:rsidRPr="007223FB">
        <w:rPr>
          <w:rFonts w:eastAsia="Candara" w:cs="Candara"/>
          <w:spacing w:val="1"/>
        </w:rPr>
        <w:t xml:space="preserve"> </w:t>
      </w:r>
      <w:r w:rsidRPr="007223FB">
        <w:rPr>
          <w:rFonts w:eastAsia="Candara" w:cs="Candara"/>
        </w:rPr>
        <w:t>ley</w:t>
      </w:r>
      <w:r w:rsidRPr="007223FB">
        <w:rPr>
          <w:rFonts w:eastAsia="Candara" w:cs="Candara"/>
          <w:spacing w:val="2"/>
        </w:rPr>
        <w:t xml:space="preserve"> </w:t>
      </w:r>
      <w:r w:rsidRPr="007223FB">
        <w:rPr>
          <w:rFonts w:eastAsia="Candara" w:cs="Candara"/>
          <w:spacing w:val="1"/>
        </w:rPr>
        <w:t>s</w:t>
      </w:r>
      <w:r w:rsidRPr="007223FB">
        <w:rPr>
          <w:rFonts w:eastAsia="Candara" w:cs="Candara"/>
          <w:spacing w:val="-1"/>
        </w:rPr>
        <w:t>o</w:t>
      </w:r>
      <w:r w:rsidRPr="007223FB">
        <w:rPr>
          <w:rFonts w:eastAsia="Candara" w:cs="Candara"/>
        </w:rPr>
        <w:t>b</w:t>
      </w:r>
      <w:r w:rsidRPr="007223FB">
        <w:rPr>
          <w:rFonts w:eastAsia="Candara" w:cs="Candara"/>
          <w:spacing w:val="1"/>
        </w:rPr>
        <w:t>r</w:t>
      </w:r>
      <w:r w:rsidRPr="007223FB">
        <w:rPr>
          <w:rFonts w:eastAsia="Candara" w:cs="Candara"/>
        </w:rPr>
        <w:t xml:space="preserve">e </w:t>
      </w:r>
      <w:r w:rsidRPr="007223FB">
        <w:rPr>
          <w:rFonts w:eastAsia="Candara" w:cs="Candara"/>
          <w:spacing w:val="1"/>
        </w:rPr>
        <w:t>c</w:t>
      </w:r>
      <w:r w:rsidRPr="007223FB">
        <w:rPr>
          <w:rFonts w:eastAsia="Candara" w:cs="Candara"/>
        </w:rPr>
        <w:t>ua</w:t>
      </w:r>
      <w:r w:rsidRPr="007223FB">
        <w:rPr>
          <w:rFonts w:eastAsia="Candara" w:cs="Candara"/>
          <w:spacing w:val="-2"/>
        </w:rPr>
        <w:t>l</w:t>
      </w:r>
      <w:r w:rsidRPr="007223FB">
        <w:rPr>
          <w:rFonts w:eastAsia="Candara" w:cs="Candara"/>
        </w:rPr>
        <w:t>quier</w:t>
      </w:r>
      <w:r w:rsidRPr="007223FB">
        <w:rPr>
          <w:rFonts w:eastAsia="Candara" w:cs="Candara"/>
          <w:spacing w:val="4"/>
        </w:rPr>
        <w:t xml:space="preserve"> </w:t>
      </w:r>
      <w:r w:rsidRPr="007223FB">
        <w:rPr>
          <w:rFonts w:eastAsia="Candara" w:cs="Candara"/>
          <w:spacing w:val="-1"/>
        </w:rPr>
        <w:t>a</w:t>
      </w:r>
      <w:r w:rsidRPr="007223FB">
        <w:rPr>
          <w:rFonts w:eastAsia="Candara" w:cs="Candara"/>
          <w:spacing w:val="1"/>
        </w:rPr>
        <w:t>c</w:t>
      </w:r>
      <w:r w:rsidRPr="007223FB">
        <w:rPr>
          <w:rFonts w:eastAsia="Candara" w:cs="Candara"/>
        </w:rPr>
        <w:t>tiv</w:t>
      </w:r>
      <w:r w:rsidRPr="007223FB">
        <w:rPr>
          <w:rFonts w:eastAsia="Candara" w:cs="Candara"/>
          <w:spacing w:val="-2"/>
        </w:rPr>
        <w:t>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4"/>
        </w:rPr>
        <w:t xml:space="preserve"> </w:t>
      </w:r>
      <w:r w:rsidRPr="007223FB">
        <w:rPr>
          <w:rFonts w:eastAsia="Candara" w:cs="Candara"/>
        </w:rPr>
        <w:t>o</w:t>
      </w:r>
      <w:r w:rsidRPr="007223FB">
        <w:rPr>
          <w:rFonts w:eastAsia="Candara" w:cs="Candara"/>
          <w:spacing w:val="3"/>
        </w:rPr>
        <w:t xml:space="preserve"> </w:t>
      </w:r>
      <w:r w:rsidRPr="007223FB">
        <w:rPr>
          <w:rFonts w:eastAsia="Candara" w:cs="Candara"/>
        </w:rPr>
        <w:t>fu</w:t>
      </w:r>
      <w:r w:rsidRPr="007223FB">
        <w:rPr>
          <w:rFonts w:eastAsia="Candara" w:cs="Candara"/>
          <w:spacing w:val="-2"/>
        </w:rPr>
        <w:t>n</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2"/>
        </w:rPr>
        <w:t xml:space="preserve"> </w:t>
      </w:r>
      <w:r w:rsidRPr="007223FB">
        <w:rPr>
          <w:rFonts w:eastAsia="Candara" w:cs="Candara"/>
          <w:spacing w:val="1"/>
        </w:rPr>
        <w:t>d</w:t>
      </w:r>
      <w:r w:rsidRPr="007223FB">
        <w:rPr>
          <w:rFonts w:eastAsia="Candara" w:cs="Candara"/>
        </w:rPr>
        <w:t>el</w:t>
      </w:r>
      <w:r w:rsidRPr="007223FB">
        <w:rPr>
          <w:rFonts w:eastAsia="Candara" w:cs="Candara"/>
          <w:spacing w:val="3"/>
        </w:rPr>
        <w:t xml:space="preserve"> </w:t>
      </w:r>
      <w:r w:rsidRPr="007223FB">
        <w:rPr>
          <w:rFonts w:eastAsia="Candara" w:cs="Candara"/>
        </w:rPr>
        <w:t>p</w:t>
      </w:r>
      <w:r w:rsidRPr="007223FB">
        <w:rPr>
          <w:rFonts w:eastAsia="Candara" w:cs="Candara"/>
          <w:spacing w:val="-3"/>
        </w:rPr>
        <w:t>o</w:t>
      </w:r>
      <w:r w:rsidRPr="007223FB">
        <w:rPr>
          <w:rFonts w:eastAsia="Candara" w:cs="Candara"/>
          <w:spacing w:val="1"/>
        </w:rPr>
        <w:t>d</w:t>
      </w:r>
      <w:r w:rsidRPr="007223FB">
        <w:rPr>
          <w:rFonts w:eastAsia="Candara" w:cs="Candara"/>
          <w:spacing w:val="-3"/>
        </w:rPr>
        <w:t>e</w:t>
      </w:r>
      <w:r w:rsidRPr="007223FB">
        <w:rPr>
          <w:rFonts w:eastAsia="Candara" w:cs="Candara"/>
        </w:rPr>
        <w:t>r públi</w:t>
      </w:r>
      <w:r w:rsidRPr="007223FB">
        <w:rPr>
          <w:rFonts w:eastAsia="Candara" w:cs="Candara"/>
          <w:spacing w:val="1"/>
        </w:rPr>
        <w:t>c</w:t>
      </w:r>
      <w:r w:rsidRPr="007223FB">
        <w:rPr>
          <w:rFonts w:eastAsia="Candara" w:cs="Candara"/>
          <w:spacing w:val="-1"/>
        </w:rPr>
        <w:t>o</w:t>
      </w:r>
      <w:r w:rsidRPr="007223FB">
        <w:rPr>
          <w:rFonts w:eastAsia="Candara" w:cs="Candara"/>
        </w:rPr>
        <w:t xml:space="preserve">. </w:t>
      </w:r>
      <w:r w:rsidRPr="007223FB">
        <w:rPr>
          <w:rFonts w:eastAsia="Candara" w:cs="Candara"/>
          <w:spacing w:val="1"/>
        </w:rPr>
        <w:t>Es</w:t>
      </w:r>
      <w:r w:rsidRPr="007223FB">
        <w:rPr>
          <w:rFonts w:eastAsia="Candara" w:cs="Candara"/>
        </w:rPr>
        <w:t>to quie</w:t>
      </w:r>
      <w:r w:rsidRPr="007223FB">
        <w:rPr>
          <w:rFonts w:eastAsia="Candara" w:cs="Candara"/>
          <w:spacing w:val="1"/>
        </w:rPr>
        <w:t>r</w:t>
      </w:r>
      <w:r w:rsidRPr="007223FB">
        <w:rPr>
          <w:rFonts w:eastAsia="Candara" w:cs="Candara"/>
        </w:rPr>
        <w:t xml:space="preserve">e </w:t>
      </w:r>
      <w:r w:rsidRPr="007223FB">
        <w:rPr>
          <w:rFonts w:eastAsia="Candara" w:cs="Candara"/>
          <w:spacing w:val="1"/>
        </w:rPr>
        <w:t>d</w:t>
      </w:r>
      <w:r w:rsidRPr="007223FB">
        <w:rPr>
          <w:rFonts w:eastAsia="Candara" w:cs="Candara"/>
          <w:spacing w:val="-3"/>
        </w:rPr>
        <w:t>e</w:t>
      </w:r>
      <w:r w:rsidRPr="007223FB">
        <w:rPr>
          <w:rFonts w:eastAsia="Candara" w:cs="Candara"/>
          <w:spacing w:val="1"/>
        </w:rPr>
        <w:t>c</w:t>
      </w:r>
      <w:r w:rsidRPr="007223FB">
        <w:rPr>
          <w:rFonts w:eastAsia="Candara" w:cs="Candara"/>
          <w:spacing w:val="-2"/>
        </w:rPr>
        <w:t>i</w:t>
      </w:r>
      <w:r w:rsidRPr="007223FB">
        <w:rPr>
          <w:rFonts w:eastAsia="Candara" w:cs="Candara"/>
        </w:rPr>
        <w:t>r</w:t>
      </w:r>
      <w:r w:rsidRPr="007223FB">
        <w:rPr>
          <w:rFonts w:eastAsia="Candara" w:cs="Candara"/>
          <w:spacing w:val="1"/>
        </w:rPr>
        <w:t xml:space="preserve"> </w:t>
      </w:r>
      <w:r w:rsidRPr="007223FB">
        <w:rPr>
          <w:rFonts w:eastAsia="Candara" w:cs="Candara"/>
        </w:rPr>
        <w:t>que t</w:t>
      </w:r>
      <w:r w:rsidRPr="007223FB">
        <w:rPr>
          <w:rFonts w:eastAsia="Candara" w:cs="Candara"/>
          <w:spacing w:val="-1"/>
        </w:rPr>
        <w:t>o</w:t>
      </w:r>
      <w:r w:rsidRPr="007223FB">
        <w:rPr>
          <w:rFonts w:eastAsia="Candara" w:cs="Candara"/>
          <w:spacing w:val="1"/>
        </w:rPr>
        <w:t>d</w:t>
      </w:r>
      <w:r w:rsidRPr="007223FB">
        <w:rPr>
          <w:rFonts w:eastAsia="Candara" w:cs="Candara"/>
        </w:rPr>
        <w:t>o aquello que em</w:t>
      </w:r>
      <w:r w:rsidRPr="007223FB">
        <w:rPr>
          <w:rFonts w:eastAsia="Candara" w:cs="Candara"/>
          <w:spacing w:val="2"/>
        </w:rPr>
        <w:t>a</w:t>
      </w:r>
      <w:r w:rsidRPr="007223FB">
        <w:rPr>
          <w:rFonts w:eastAsia="Candara" w:cs="Candara"/>
          <w:spacing w:val="1"/>
        </w:rPr>
        <w:t>n</w:t>
      </w:r>
      <w:r w:rsidRPr="007223FB">
        <w:rPr>
          <w:rFonts w:eastAsia="Candara" w:cs="Candara"/>
        </w:rPr>
        <w:t>e</w:t>
      </w:r>
      <w:r w:rsidRPr="007223FB">
        <w:rPr>
          <w:rFonts w:eastAsia="Candara" w:cs="Candara"/>
          <w:spacing w:val="-1"/>
        </w:rPr>
        <w:t xml:space="preserve"> </w:t>
      </w:r>
      <w:r w:rsidRPr="007223FB">
        <w:rPr>
          <w:rFonts w:eastAsia="Candara" w:cs="Candara"/>
          <w:spacing w:val="1"/>
        </w:rPr>
        <w:t>d</w:t>
      </w:r>
      <w:r w:rsidRPr="007223FB">
        <w:rPr>
          <w:rFonts w:eastAsia="Candara" w:cs="Candara"/>
        </w:rPr>
        <w:t xml:space="preserve">el </w:t>
      </w:r>
      <w:r w:rsidRPr="007223FB">
        <w:rPr>
          <w:rFonts w:eastAsia="Candara" w:cs="Candara"/>
          <w:spacing w:val="-2"/>
        </w:rPr>
        <w:t>E</w:t>
      </w:r>
      <w:r w:rsidRPr="007223FB">
        <w:rPr>
          <w:rFonts w:eastAsia="Candara" w:cs="Candara"/>
          <w:spacing w:val="1"/>
        </w:rPr>
        <w:t>s</w:t>
      </w:r>
      <w:r w:rsidRPr="007223FB">
        <w:rPr>
          <w:rFonts w:eastAsia="Candara" w:cs="Candara"/>
        </w:rPr>
        <w:t>ta</w:t>
      </w:r>
      <w:r w:rsidRPr="007223FB">
        <w:rPr>
          <w:rFonts w:eastAsia="Candara" w:cs="Candara"/>
          <w:spacing w:val="1"/>
        </w:rPr>
        <w:t>d</w:t>
      </w:r>
      <w:r w:rsidRPr="007223FB">
        <w:rPr>
          <w:rFonts w:eastAsia="Candara" w:cs="Candara"/>
        </w:rPr>
        <w:t>o</w:t>
      </w:r>
      <w:r w:rsidRPr="007223FB">
        <w:rPr>
          <w:rFonts w:eastAsia="Candara" w:cs="Candara"/>
          <w:spacing w:val="-3"/>
        </w:rPr>
        <w:t xml:space="preserve"> </w:t>
      </w:r>
      <w:r w:rsidRPr="007223FB">
        <w:rPr>
          <w:rFonts w:eastAsia="Candara" w:cs="Candara"/>
          <w:spacing w:val="1"/>
        </w:rPr>
        <w:t>d</w:t>
      </w:r>
      <w:r w:rsidRPr="007223FB">
        <w:rPr>
          <w:rFonts w:eastAsia="Candara" w:cs="Candara"/>
        </w:rPr>
        <w:t>ebe e</w:t>
      </w:r>
      <w:r w:rsidRPr="007223FB">
        <w:rPr>
          <w:rFonts w:eastAsia="Candara" w:cs="Candara"/>
          <w:spacing w:val="1"/>
        </w:rPr>
        <w:t>s</w:t>
      </w:r>
      <w:r w:rsidRPr="007223FB">
        <w:rPr>
          <w:rFonts w:eastAsia="Candara" w:cs="Candara"/>
        </w:rPr>
        <w:t>t</w:t>
      </w:r>
      <w:r w:rsidRPr="007223FB">
        <w:rPr>
          <w:rFonts w:eastAsia="Candara" w:cs="Candara"/>
          <w:spacing w:val="-2"/>
        </w:rPr>
        <w:t>a</w:t>
      </w:r>
      <w:r w:rsidRPr="007223FB">
        <w:rPr>
          <w:rFonts w:eastAsia="Candara" w:cs="Candara"/>
        </w:rPr>
        <w:t>r</w:t>
      </w:r>
      <w:r w:rsidRPr="007223FB">
        <w:rPr>
          <w:rFonts w:eastAsia="Candara" w:cs="Candara"/>
          <w:spacing w:val="1"/>
        </w:rPr>
        <w:t xml:space="preserve"> </w:t>
      </w:r>
      <w:r w:rsidRPr="007223FB">
        <w:rPr>
          <w:rFonts w:eastAsia="Candara" w:cs="Candara"/>
          <w:spacing w:val="-1"/>
        </w:rPr>
        <w:t>r</w:t>
      </w:r>
      <w:r w:rsidRPr="007223FB">
        <w:rPr>
          <w:rFonts w:eastAsia="Candara" w:cs="Candara"/>
        </w:rPr>
        <w:t>e</w:t>
      </w:r>
      <w:r w:rsidRPr="007223FB">
        <w:rPr>
          <w:rFonts w:eastAsia="Candara" w:cs="Candara"/>
          <w:spacing w:val="1"/>
        </w:rPr>
        <w:t>g</w:t>
      </w:r>
      <w:r w:rsidRPr="007223FB">
        <w:rPr>
          <w:rFonts w:eastAsia="Candara" w:cs="Candara"/>
        </w:rPr>
        <w:t>i</w:t>
      </w:r>
      <w:r w:rsidRPr="007223FB">
        <w:rPr>
          <w:rFonts w:eastAsia="Candara" w:cs="Candara"/>
          <w:spacing w:val="1"/>
        </w:rPr>
        <w:t>d</w:t>
      </w:r>
      <w:r w:rsidRPr="007223FB">
        <w:rPr>
          <w:rFonts w:eastAsia="Candara" w:cs="Candara"/>
        </w:rPr>
        <w:t>o p</w:t>
      </w:r>
      <w:r w:rsidRPr="007223FB">
        <w:rPr>
          <w:rFonts w:eastAsia="Candara" w:cs="Candara"/>
          <w:spacing w:val="-3"/>
        </w:rPr>
        <w:t>o</w:t>
      </w:r>
      <w:r w:rsidRPr="007223FB">
        <w:rPr>
          <w:rFonts w:eastAsia="Candara" w:cs="Candara"/>
        </w:rPr>
        <w:t>r la le</w:t>
      </w:r>
      <w:r w:rsidRPr="007223FB">
        <w:rPr>
          <w:rFonts w:eastAsia="Candara" w:cs="Candara"/>
          <w:spacing w:val="1"/>
        </w:rPr>
        <w:t>y</w:t>
      </w:r>
      <w:r w:rsidRPr="007223FB">
        <w:rPr>
          <w:rFonts w:eastAsia="Candara" w:cs="Candara"/>
        </w:rPr>
        <w:t>, y</w:t>
      </w:r>
      <w:r w:rsidRPr="007223FB">
        <w:rPr>
          <w:rFonts w:eastAsia="Candara" w:cs="Candara"/>
          <w:spacing w:val="1"/>
        </w:rPr>
        <w:t xml:space="preserve"> n</w:t>
      </w:r>
      <w:r w:rsidRPr="007223FB">
        <w:rPr>
          <w:rFonts w:eastAsia="Candara" w:cs="Candara"/>
          <w:spacing w:val="-3"/>
        </w:rPr>
        <w:t>u</w:t>
      </w:r>
      <w:r w:rsidRPr="007223FB">
        <w:rPr>
          <w:rFonts w:eastAsia="Candara" w:cs="Candara"/>
          <w:spacing w:val="1"/>
        </w:rPr>
        <w:t>nc</w:t>
      </w:r>
      <w:r w:rsidRPr="007223FB">
        <w:rPr>
          <w:rFonts w:eastAsia="Candara" w:cs="Candara"/>
        </w:rPr>
        <w:t>a p</w:t>
      </w:r>
      <w:r w:rsidRPr="007223FB">
        <w:rPr>
          <w:rFonts w:eastAsia="Candara" w:cs="Candara"/>
          <w:spacing w:val="-3"/>
        </w:rPr>
        <w:t>o</w:t>
      </w:r>
      <w:r w:rsidRPr="007223FB">
        <w:rPr>
          <w:rFonts w:eastAsia="Candara" w:cs="Candara"/>
        </w:rPr>
        <w:t>r</w:t>
      </w:r>
      <w:r w:rsidRPr="007223FB">
        <w:rPr>
          <w:rFonts w:eastAsia="Candara" w:cs="Candara"/>
          <w:spacing w:val="1"/>
        </w:rPr>
        <w:t xml:space="preserve"> </w:t>
      </w:r>
      <w:r w:rsidRPr="007223FB">
        <w:rPr>
          <w:rFonts w:eastAsia="Candara" w:cs="Candara"/>
        </w:rPr>
        <w:t>la v</w:t>
      </w:r>
      <w:r w:rsidRPr="007223FB">
        <w:rPr>
          <w:rFonts w:eastAsia="Candara" w:cs="Candara"/>
          <w:spacing w:val="-1"/>
        </w:rPr>
        <w:t>o</w:t>
      </w:r>
      <w:r w:rsidRPr="007223FB">
        <w:rPr>
          <w:rFonts w:eastAsia="Candara" w:cs="Candara"/>
        </w:rPr>
        <w:t>lu</w:t>
      </w:r>
      <w:r w:rsidRPr="007223FB">
        <w:rPr>
          <w:rFonts w:eastAsia="Candara" w:cs="Candara"/>
          <w:spacing w:val="-2"/>
        </w:rPr>
        <w:t>n</w:t>
      </w:r>
      <w:r w:rsidRPr="007223FB">
        <w:rPr>
          <w:rFonts w:eastAsia="Candara" w:cs="Candara"/>
        </w:rPr>
        <w:t>tad</w:t>
      </w:r>
      <w:r w:rsidRPr="007223FB">
        <w:rPr>
          <w:rFonts w:eastAsia="Candara" w:cs="Candara"/>
          <w:spacing w:val="1"/>
        </w:rPr>
        <w:t xml:space="preserve"> d</w:t>
      </w:r>
      <w:r w:rsidRPr="007223FB">
        <w:rPr>
          <w:rFonts w:eastAsia="Candara" w:cs="Candara"/>
        </w:rPr>
        <w:t>e l</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i</w:t>
      </w:r>
      <w:r w:rsidRPr="007223FB">
        <w:rPr>
          <w:rFonts w:eastAsia="Candara" w:cs="Candara"/>
          <w:spacing w:val="-2"/>
        </w:rPr>
        <w:t>n</w:t>
      </w:r>
      <w:r w:rsidRPr="007223FB">
        <w:rPr>
          <w:rFonts w:eastAsia="Candara" w:cs="Candara"/>
          <w:spacing w:val="1"/>
        </w:rPr>
        <w:t>d</w:t>
      </w:r>
      <w:r w:rsidRPr="007223FB">
        <w:rPr>
          <w:rFonts w:eastAsia="Candara" w:cs="Candara"/>
        </w:rPr>
        <w:t>ivi</w:t>
      </w:r>
      <w:r w:rsidRPr="007223FB">
        <w:rPr>
          <w:rFonts w:eastAsia="Candara" w:cs="Candara"/>
          <w:spacing w:val="1"/>
        </w:rPr>
        <w:t>d</w:t>
      </w:r>
      <w:r w:rsidRPr="007223FB">
        <w:rPr>
          <w:rFonts w:eastAsia="Candara" w:cs="Candara"/>
        </w:rPr>
        <w:t>u</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 xml:space="preserve">o </w:t>
      </w:r>
      <w:r w:rsidRPr="007223FB">
        <w:rPr>
          <w:rFonts w:eastAsia="Candara" w:cs="Candara"/>
          <w:spacing w:val="1"/>
        </w:rPr>
        <w:t>g</w:t>
      </w:r>
      <w:r w:rsidRPr="007223FB">
        <w:rPr>
          <w:rFonts w:eastAsia="Candara" w:cs="Candara"/>
          <w:spacing w:val="-5"/>
        </w:rPr>
        <w:t>o</w:t>
      </w:r>
      <w:r w:rsidRPr="007223FB">
        <w:rPr>
          <w:rFonts w:eastAsia="Candara" w:cs="Candara"/>
        </w:rPr>
        <w:t>be</w:t>
      </w:r>
      <w:r w:rsidRPr="007223FB">
        <w:rPr>
          <w:rFonts w:eastAsia="Candara" w:cs="Candara"/>
          <w:spacing w:val="1"/>
        </w:rPr>
        <w:t>rn</w:t>
      </w:r>
      <w:r w:rsidRPr="007223FB">
        <w:rPr>
          <w:rFonts w:eastAsia="Candara" w:cs="Candara"/>
        </w:rPr>
        <w:t>a</w:t>
      </w:r>
      <w:r w:rsidRPr="007223FB">
        <w:rPr>
          <w:rFonts w:eastAsia="Candara" w:cs="Candara"/>
          <w:spacing w:val="1"/>
        </w:rPr>
        <w:t>n</w:t>
      </w:r>
      <w:r w:rsidRPr="007223FB">
        <w:rPr>
          <w:rFonts w:eastAsia="Candara" w:cs="Candara"/>
        </w:rPr>
        <w:t>t</w:t>
      </w:r>
      <w:r w:rsidRPr="007223FB">
        <w:rPr>
          <w:rFonts w:eastAsia="Candara" w:cs="Candara"/>
          <w:spacing w:val="-3"/>
        </w:rPr>
        <w:t>e</w:t>
      </w:r>
      <w:r w:rsidRPr="007223FB">
        <w:rPr>
          <w:rFonts w:eastAsia="Candara" w:cs="Candara"/>
          <w:spacing w:val="1"/>
        </w:rPr>
        <w:t>s</w:t>
      </w:r>
      <w:r w:rsidRPr="007223FB">
        <w:rPr>
          <w:rFonts w:eastAsia="Candara" w:cs="Candara"/>
        </w:rPr>
        <w:t>.</w:t>
      </w:r>
      <w:r w:rsidR="00CE0FD5">
        <w:rPr>
          <w:rStyle w:val="Refdenotaalpie"/>
          <w:rFonts w:eastAsia="Candara" w:cs="Candara"/>
        </w:rPr>
        <w:footnoteReference w:id="1"/>
      </w:r>
    </w:p>
    <w:p w:rsidR="00F73BA8" w:rsidRPr="007223FB" w:rsidRDefault="00F73BA8" w:rsidP="006C13F5">
      <w:pPr>
        <w:spacing w:before="120" w:after="120" w:line="240" w:lineRule="auto"/>
        <w:ind w:left="462" w:right="-20"/>
        <w:rPr>
          <w:rFonts w:eastAsia="Candara" w:cs="Candara"/>
          <w:b/>
        </w:rPr>
      </w:pPr>
      <w:r w:rsidRPr="007223FB">
        <w:rPr>
          <w:rFonts w:eastAsia="Candara" w:cs="Candara"/>
          <w:b/>
        </w:rPr>
        <w:lastRenderedPageBreak/>
        <w:t xml:space="preserve">b.  </w:t>
      </w:r>
      <w:r w:rsidRPr="007223FB">
        <w:rPr>
          <w:rFonts w:eastAsia="Candara" w:cs="Candara"/>
          <w:b/>
          <w:spacing w:val="39"/>
        </w:rPr>
        <w:t xml:space="preserve"> </w:t>
      </w:r>
      <w:r w:rsidRPr="007223FB">
        <w:rPr>
          <w:rFonts w:eastAsia="Candara" w:cs="Candara"/>
          <w:b/>
          <w:spacing w:val="1"/>
        </w:rPr>
        <w:t>An</w:t>
      </w:r>
      <w:r w:rsidRPr="007223FB">
        <w:rPr>
          <w:rFonts w:eastAsia="Candara" w:cs="Candara"/>
          <w:b/>
        </w:rPr>
        <w:t>ál</w:t>
      </w:r>
      <w:r w:rsidRPr="007223FB">
        <w:rPr>
          <w:rFonts w:eastAsia="Candara" w:cs="Candara"/>
          <w:b/>
          <w:spacing w:val="-2"/>
        </w:rPr>
        <w:t>i</w:t>
      </w:r>
      <w:r w:rsidRPr="007223FB">
        <w:rPr>
          <w:rFonts w:eastAsia="Candara" w:cs="Candara"/>
          <w:b/>
          <w:spacing w:val="1"/>
        </w:rPr>
        <w:t>s</w:t>
      </w:r>
      <w:r w:rsidRPr="007223FB">
        <w:rPr>
          <w:rFonts w:eastAsia="Candara" w:cs="Candara"/>
          <w:b/>
        </w:rPr>
        <w:t>is</w:t>
      </w:r>
      <w:r w:rsidRPr="007223FB">
        <w:rPr>
          <w:rFonts w:eastAsia="Candara" w:cs="Candara"/>
          <w:b/>
          <w:spacing w:val="-1"/>
        </w:rPr>
        <w:t xml:space="preserve"> </w:t>
      </w:r>
      <w:r w:rsidRPr="007223FB">
        <w:rPr>
          <w:rFonts w:eastAsia="Candara" w:cs="Candara"/>
          <w:b/>
          <w:spacing w:val="1"/>
        </w:rPr>
        <w:t>d</w:t>
      </w:r>
      <w:r w:rsidRPr="007223FB">
        <w:rPr>
          <w:rFonts w:eastAsia="Candara" w:cs="Candara"/>
          <w:b/>
        </w:rPr>
        <w:t xml:space="preserve">e </w:t>
      </w:r>
      <w:r w:rsidRPr="007223FB">
        <w:rPr>
          <w:rFonts w:eastAsia="Candara" w:cs="Candara"/>
          <w:b/>
          <w:spacing w:val="1"/>
        </w:rPr>
        <w:t>E</w:t>
      </w:r>
      <w:r w:rsidRPr="007223FB">
        <w:rPr>
          <w:rFonts w:eastAsia="Candara" w:cs="Candara"/>
          <w:b/>
        </w:rPr>
        <w:t>f</w:t>
      </w:r>
      <w:r w:rsidRPr="007223FB">
        <w:rPr>
          <w:rFonts w:eastAsia="Candara" w:cs="Candara"/>
          <w:b/>
          <w:spacing w:val="-2"/>
        </w:rPr>
        <w:t>i</w:t>
      </w:r>
      <w:r w:rsidRPr="007223FB">
        <w:rPr>
          <w:rFonts w:eastAsia="Candara" w:cs="Candara"/>
          <w:b/>
          <w:spacing w:val="1"/>
        </w:rPr>
        <w:t>c</w:t>
      </w:r>
      <w:r w:rsidRPr="007223FB">
        <w:rPr>
          <w:rFonts w:eastAsia="Candara" w:cs="Candara"/>
          <w:b/>
        </w:rPr>
        <w:t>ie</w:t>
      </w:r>
      <w:r w:rsidRPr="007223FB">
        <w:rPr>
          <w:rFonts w:eastAsia="Candara" w:cs="Candara"/>
          <w:b/>
          <w:spacing w:val="-2"/>
        </w:rPr>
        <w:t>n</w:t>
      </w:r>
      <w:r w:rsidRPr="007223FB">
        <w:rPr>
          <w:rFonts w:eastAsia="Candara" w:cs="Candara"/>
          <w:b/>
          <w:spacing w:val="1"/>
        </w:rPr>
        <w:t>c</w:t>
      </w:r>
      <w:r w:rsidRPr="007223FB">
        <w:rPr>
          <w:rFonts w:eastAsia="Candara" w:cs="Candara"/>
          <w:b/>
        </w:rPr>
        <w:t>ia</w:t>
      </w:r>
    </w:p>
    <w:p w:rsidR="00F73BA8" w:rsidRPr="007223FB" w:rsidRDefault="00F73BA8" w:rsidP="006C13F5">
      <w:pPr>
        <w:spacing w:before="120" w:after="120" w:line="240" w:lineRule="auto"/>
        <w:ind w:left="810" w:right="57"/>
        <w:rPr>
          <w:rFonts w:eastAsia="Candara" w:cs="Candara"/>
        </w:rPr>
      </w:pPr>
      <w:r w:rsidRPr="007223FB">
        <w:rPr>
          <w:rFonts w:eastAsia="Candara" w:cs="Candara"/>
          <w:spacing w:val="1"/>
        </w:rPr>
        <w:t>E</w:t>
      </w:r>
      <w:r w:rsidRPr="007223FB">
        <w:rPr>
          <w:rFonts w:eastAsia="Candara" w:cs="Candara"/>
        </w:rPr>
        <w:t>l</w:t>
      </w:r>
      <w:r w:rsidRPr="007223FB">
        <w:rPr>
          <w:rFonts w:eastAsia="Candara" w:cs="Candara"/>
          <w:spacing w:val="24"/>
        </w:rPr>
        <w:t xml:space="preserve"> </w:t>
      </w:r>
      <w:r w:rsidRPr="007223FB">
        <w:rPr>
          <w:rFonts w:eastAsia="Candara" w:cs="Candara"/>
          <w:spacing w:val="1"/>
        </w:rPr>
        <w:t>c</w:t>
      </w:r>
      <w:r w:rsidRPr="007223FB">
        <w:rPr>
          <w:rFonts w:eastAsia="Candara" w:cs="Candara"/>
        </w:rPr>
        <w:t>ual</w:t>
      </w:r>
      <w:r w:rsidRPr="007223FB">
        <w:rPr>
          <w:rFonts w:eastAsia="Candara" w:cs="Candara"/>
          <w:spacing w:val="22"/>
        </w:rPr>
        <w:t xml:space="preserve"> </w:t>
      </w:r>
      <w:r w:rsidRPr="007223FB">
        <w:rPr>
          <w:rFonts w:eastAsia="Candara" w:cs="Candara"/>
          <w:spacing w:val="1"/>
        </w:rPr>
        <w:t>s</w:t>
      </w:r>
      <w:r w:rsidRPr="007223FB">
        <w:rPr>
          <w:rFonts w:eastAsia="Candara" w:cs="Candara"/>
        </w:rPr>
        <w:t>e</w:t>
      </w:r>
      <w:r w:rsidRPr="007223FB">
        <w:rPr>
          <w:rFonts w:eastAsia="Candara" w:cs="Candara"/>
          <w:spacing w:val="22"/>
        </w:rPr>
        <w:t xml:space="preserve"> </w:t>
      </w:r>
      <w:r w:rsidRPr="007223FB">
        <w:rPr>
          <w:rFonts w:eastAsia="Candara" w:cs="Candara"/>
          <w:spacing w:val="1"/>
        </w:rPr>
        <w:t>r</w:t>
      </w:r>
      <w:r w:rsidRPr="007223FB">
        <w:rPr>
          <w:rFonts w:eastAsia="Candara" w:cs="Candara"/>
        </w:rPr>
        <w:t>eali</w:t>
      </w:r>
      <w:r w:rsidRPr="007223FB">
        <w:rPr>
          <w:rFonts w:eastAsia="Candara" w:cs="Candara"/>
          <w:spacing w:val="1"/>
        </w:rPr>
        <w:t>z</w:t>
      </w:r>
      <w:r w:rsidRPr="007223FB">
        <w:rPr>
          <w:rFonts w:eastAsia="Candara" w:cs="Candara"/>
        </w:rPr>
        <w:t>a</w:t>
      </w:r>
      <w:r w:rsidRPr="007223FB">
        <w:rPr>
          <w:rFonts w:eastAsia="Candara" w:cs="Candara"/>
          <w:spacing w:val="22"/>
        </w:rPr>
        <w:t xml:space="preserve"> </w:t>
      </w:r>
      <w:r w:rsidRPr="007223FB">
        <w:rPr>
          <w:rFonts w:eastAsia="Candara" w:cs="Candara"/>
          <w:spacing w:val="1"/>
        </w:rPr>
        <w:t>c</w:t>
      </w:r>
      <w:r w:rsidRPr="007223FB">
        <w:rPr>
          <w:rFonts w:eastAsia="Candara" w:cs="Candara"/>
          <w:spacing w:val="-1"/>
        </w:rPr>
        <w:t>o</w:t>
      </w:r>
      <w:r w:rsidRPr="007223FB">
        <w:rPr>
          <w:rFonts w:eastAsia="Candara" w:cs="Candara"/>
          <w:spacing w:val="1"/>
        </w:rPr>
        <w:t>n</w:t>
      </w:r>
      <w:r w:rsidRPr="007223FB">
        <w:rPr>
          <w:rFonts w:eastAsia="Candara" w:cs="Candara"/>
        </w:rPr>
        <w:t>t</w:t>
      </w:r>
      <w:r w:rsidRPr="007223FB">
        <w:rPr>
          <w:rFonts w:eastAsia="Candara" w:cs="Candara"/>
          <w:spacing w:val="1"/>
        </w:rPr>
        <w:t>r</w:t>
      </w:r>
      <w:r w:rsidRPr="007223FB">
        <w:rPr>
          <w:rFonts w:eastAsia="Candara" w:cs="Candara"/>
          <w:spacing w:val="-2"/>
        </w:rPr>
        <w:t>a</w:t>
      </w:r>
      <w:r w:rsidRPr="007223FB">
        <w:rPr>
          <w:rFonts w:eastAsia="Candara" w:cs="Candara"/>
          <w:spacing w:val="1"/>
        </w:rPr>
        <w:t>s</w:t>
      </w:r>
      <w:r w:rsidRPr="007223FB">
        <w:rPr>
          <w:rFonts w:eastAsia="Candara" w:cs="Candara"/>
          <w:spacing w:val="-2"/>
        </w:rPr>
        <w:t>t</w:t>
      </w:r>
      <w:r w:rsidRPr="007223FB">
        <w:rPr>
          <w:rFonts w:eastAsia="Candara" w:cs="Candara"/>
        </w:rPr>
        <w:t>a</w:t>
      </w:r>
      <w:r w:rsidRPr="007223FB">
        <w:rPr>
          <w:rFonts w:eastAsia="Candara" w:cs="Candara"/>
          <w:spacing w:val="1"/>
        </w:rPr>
        <w:t>nd</w:t>
      </w:r>
      <w:r w:rsidRPr="007223FB">
        <w:rPr>
          <w:rFonts w:eastAsia="Candara" w:cs="Candara"/>
        </w:rPr>
        <w:t>o</w:t>
      </w:r>
      <w:r w:rsidRPr="007223FB">
        <w:rPr>
          <w:rFonts w:eastAsia="Candara" w:cs="Candara"/>
          <w:spacing w:val="24"/>
        </w:rPr>
        <w:t xml:space="preserve"> </w:t>
      </w:r>
      <w:r w:rsidRPr="007223FB">
        <w:rPr>
          <w:rFonts w:eastAsia="Candara" w:cs="Candara"/>
        </w:rPr>
        <w:t>el</w:t>
      </w:r>
      <w:r w:rsidRPr="007223FB">
        <w:rPr>
          <w:rFonts w:eastAsia="Candara" w:cs="Candara"/>
          <w:spacing w:val="24"/>
        </w:rPr>
        <w:t xml:space="preserve"> </w:t>
      </w:r>
      <w:r w:rsidRPr="007223FB">
        <w:rPr>
          <w:rFonts w:eastAsia="Candara" w:cs="Candara"/>
          <w:spacing w:val="-2"/>
        </w:rPr>
        <w:t>p</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upu</w:t>
      </w:r>
      <w:r w:rsidRPr="007223FB">
        <w:rPr>
          <w:rFonts w:eastAsia="Candara" w:cs="Candara"/>
          <w:spacing w:val="-3"/>
        </w:rPr>
        <w:t>e</w:t>
      </w:r>
      <w:r w:rsidRPr="007223FB">
        <w:rPr>
          <w:rFonts w:eastAsia="Candara" w:cs="Candara"/>
          <w:spacing w:val="1"/>
        </w:rPr>
        <w:t>s</w:t>
      </w:r>
      <w:r w:rsidRPr="007223FB">
        <w:rPr>
          <w:rFonts w:eastAsia="Candara" w:cs="Candara"/>
        </w:rPr>
        <w:t>to</w:t>
      </w:r>
      <w:r w:rsidRPr="007223FB">
        <w:rPr>
          <w:rFonts w:eastAsia="Candara" w:cs="Candara"/>
          <w:spacing w:val="24"/>
        </w:rPr>
        <w:t xml:space="preserve"> </w:t>
      </w:r>
      <w:r w:rsidRPr="007223FB">
        <w:rPr>
          <w:rFonts w:eastAsia="Candara" w:cs="Candara"/>
        </w:rPr>
        <w:t>eje</w:t>
      </w:r>
      <w:r w:rsidRPr="007223FB">
        <w:rPr>
          <w:rFonts w:eastAsia="Candara" w:cs="Candara"/>
          <w:spacing w:val="-1"/>
        </w:rPr>
        <w:t>c</w:t>
      </w:r>
      <w:r w:rsidRPr="007223FB">
        <w:rPr>
          <w:rFonts w:eastAsia="Candara" w:cs="Candara"/>
        </w:rPr>
        <w:t>u</w:t>
      </w:r>
      <w:r w:rsidRPr="007223FB">
        <w:rPr>
          <w:rFonts w:eastAsia="Candara" w:cs="Candara"/>
          <w:spacing w:val="-1"/>
        </w:rPr>
        <w:t>t</w:t>
      </w:r>
      <w:r w:rsidRPr="007223FB">
        <w:rPr>
          <w:rFonts w:eastAsia="Candara" w:cs="Candara"/>
        </w:rPr>
        <w:t>a</w:t>
      </w:r>
      <w:r w:rsidRPr="007223FB">
        <w:rPr>
          <w:rFonts w:eastAsia="Candara" w:cs="Candara"/>
          <w:spacing w:val="1"/>
        </w:rPr>
        <w:t>d</w:t>
      </w:r>
      <w:r w:rsidRPr="007223FB">
        <w:rPr>
          <w:rFonts w:eastAsia="Candara" w:cs="Candara"/>
        </w:rPr>
        <w:t>o</w:t>
      </w:r>
      <w:r w:rsidRPr="007223FB">
        <w:rPr>
          <w:rFonts w:eastAsia="Candara" w:cs="Candara"/>
          <w:spacing w:val="24"/>
        </w:rPr>
        <w:t xml:space="preserve"> </w:t>
      </w:r>
      <w:r w:rsidRPr="007223FB">
        <w:rPr>
          <w:rFonts w:eastAsia="Candara" w:cs="Candara"/>
          <w:spacing w:val="1"/>
        </w:rPr>
        <w:t>c</w:t>
      </w:r>
      <w:r w:rsidRPr="007223FB">
        <w:rPr>
          <w:rFonts w:eastAsia="Candara" w:cs="Candara"/>
          <w:spacing w:val="-1"/>
        </w:rPr>
        <w:t>o</w:t>
      </w:r>
      <w:r w:rsidRPr="007223FB">
        <w:rPr>
          <w:rFonts w:eastAsia="Candara" w:cs="Candara"/>
        </w:rPr>
        <w:t>n</w:t>
      </w:r>
      <w:r w:rsidRPr="007223FB">
        <w:rPr>
          <w:rFonts w:eastAsia="Candara" w:cs="Candara"/>
          <w:spacing w:val="23"/>
        </w:rPr>
        <w:t xml:space="preserve"> </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pe</w:t>
      </w:r>
      <w:r w:rsidRPr="007223FB">
        <w:rPr>
          <w:rFonts w:eastAsia="Candara" w:cs="Candara"/>
          <w:spacing w:val="1"/>
        </w:rPr>
        <w:t>c</w:t>
      </w:r>
      <w:r w:rsidRPr="007223FB">
        <w:rPr>
          <w:rFonts w:eastAsia="Candara" w:cs="Candara"/>
        </w:rPr>
        <w:t>to</w:t>
      </w:r>
      <w:r w:rsidRPr="007223FB">
        <w:rPr>
          <w:rFonts w:eastAsia="Candara" w:cs="Candara"/>
          <w:spacing w:val="24"/>
        </w:rPr>
        <w:t xml:space="preserve"> </w:t>
      </w:r>
      <w:r w:rsidRPr="007223FB">
        <w:rPr>
          <w:rFonts w:eastAsia="Candara" w:cs="Candara"/>
        </w:rPr>
        <w:t>al</w:t>
      </w:r>
      <w:r w:rsidRPr="007223FB">
        <w:rPr>
          <w:rFonts w:eastAsia="Candara" w:cs="Candara"/>
          <w:spacing w:val="22"/>
        </w:rPr>
        <w:t xml:space="preserve"> </w:t>
      </w:r>
      <w:r w:rsidRPr="007223FB">
        <w:rPr>
          <w:rFonts w:eastAsia="Candara" w:cs="Candara"/>
        </w:rPr>
        <w:t>p</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upue</w:t>
      </w:r>
      <w:r w:rsidRPr="007223FB">
        <w:rPr>
          <w:rFonts w:eastAsia="Candara" w:cs="Candara"/>
          <w:spacing w:val="1"/>
        </w:rPr>
        <w:t>s</w:t>
      </w:r>
      <w:r w:rsidRPr="007223FB">
        <w:rPr>
          <w:rFonts w:eastAsia="Candara" w:cs="Candara"/>
          <w:spacing w:val="-2"/>
        </w:rPr>
        <w:t>t</w:t>
      </w:r>
      <w:r w:rsidRPr="007223FB">
        <w:rPr>
          <w:rFonts w:eastAsia="Candara" w:cs="Candara"/>
        </w:rPr>
        <w:t>o vi</w:t>
      </w:r>
      <w:r w:rsidRPr="007223FB">
        <w:rPr>
          <w:rFonts w:eastAsia="Candara" w:cs="Candara"/>
          <w:spacing w:val="1"/>
        </w:rPr>
        <w:t>g</w:t>
      </w:r>
      <w:r w:rsidRPr="007223FB">
        <w:rPr>
          <w:rFonts w:eastAsia="Candara" w:cs="Candara"/>
        </w:rPr>
        <w:t>e</w:t>
      </w:r>
      <w:r w:rsidRPr="007223FB">
        <w:rPr>
          <w:rFonts w:eastAsia="Candara" w:cs="Candara"/>
          <w:spacing w:val="1"/>
        </w:rPr>
        <w:t>n</w:t>
      </w:r>
      <w:r w:rsidRPr="007223FB">
        <w:rPr>
          <w:rFonts w:eastAsia="Candara" w:cs="Candara"/>
        </w:rPr>
        <w:t>te</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la</w:t>
      </w:r>
      <w:r w:rsidRPr="007223FB">
        <w:rPr>
          <w:rFonts w:eastAsia="Candara" w:cs="Candara"/>
          <w:spacing w:val="-5"/>
        </w:rPr>
        <w:t xml:space="preserve"> </w:t>
      </w:r>
      <w:r w:rsidRPr="007223FB">
        <w:rPr>
          <w:rFonts w:eastAsia="Candara" w:cs="Candara"/>
        </w:rPr>
        <w:t>i</w:t>
      </w:r>
      <w:r w:rsidRPr="007223FB">
        <w:rPr>
          <w:rFonts w:eastAsia="Candara" w:cs="Candara"/>
          <w:spacing w:val="1"/>
        </w:rPr>
        <w:t>n</w:t>
      </w:r>
      <w:r w:rsidRPr="007223FB">
        <w:rPr>
          <w:rFonts w:eastAsia="Candara" w:cs="Candara"/>
          <w:spacing w:val="-1"/>
        </w:rPr>
        <w:t>s</w:t>
      </w:r>
      <w:r w:rsidRPr="007223FB">
        <w:rPr>
          <w:rFonts w:eastAsia="Candara" w:cs="Candara"/>
        </w:rPr>
        <w:t>titu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spacing w:val="1"/>
        </w:rPr>
        <w:t>n</w:t>
      </w:r>
      <w:r w:rsidRPr="007223FB">
        <w:rPr>
          <w:rFonts w:eastAsia="Candara" w:cs="Candara"/>
        </w:rPr>
        <w:t>.</w:t>
      </w:r>
      <w:r w:rsidRPr="007223FB">
        <w:rPr>
          <w:rFonts w:eastAsia="Candara" w:cs="Candara"/>
          <w:spacing w:val="-2"/>
        </w:rPr>
        <w:t xml:space="preserve"> S</w:t>
      </w:r>
      <w:r w:rsidRPr="007223FB">
        <w:rPr>
          <w:rFonts w:eastAsia="Candara" w:cs="Candara"/>
        </w:rPr>
        <w:t>e</w:t>
      </w:r>
      <w:r w:rsidRPr="007223FB">
        <w:rPr>
          <w:rFonts w:eastAsia="Candara" w:cs="Candara"/>
          <w:spacing w:val="-2"/>
        </w:rPr>
        <w:t xml:space="preserve"> </w:t>
      </w:r>
      <w:r w:rsidRPr="007223FB">
        <w:rPr>
          <w:rFonts w:eastAsia="Candara" w:cs="Candara"/>
          <w:spacing w:val="1"/>
        </w:rPr>
        <w:t>c</w:t>
      </w:r>
      <w:r w:rsidRPr="007223FB">
        <w:rPr>
          <w:rFonts w:eastAsia="Candara" w:cs="Candara"/>
          <w:spacing w:val="-1"/>
        </w:rPr>
        <w:t>o</w:t>
      </w:r>
      <w:r w:rsidRPr="007223FB">
        <w:rPr>
          <w:rFonts w:eastAsia="Candara" w:cs="Candara"/>
          <w:spacing w:val="1"/>
        </w:rPr>
        <w:t>ns</w:t>
      </w:r>
      <w:r w:rsidRPr="007223FB">
        <w:rPr>
          <w:rFonts w:eastAsia="Candara" w:cs="Candara"/>
          <w:spacing w:val="-2"/>
        </w:rPr>
        <w:t>i</w:t>
      </w:r>
      <w:r w:rsidRPr="007223FB">
        <w:rPr>
          <w:rFonts w:eastAsia="Candara" w:cs="Candara"/>
          <w:spacing w:val="1"/>
        </w:rPr>
        <w:t>d</w:t>
      </w:r>
      <w:r w:rsidRPr="007223FB">
        <w:rPr>
          <w:rFonts w:eastAsia="Candara" w:cs="Candara"/>
        </w:rPr>
        <w:t>e</w:t>
      </w:r>
      <w:r w:rsidRPr="007223FB">
        <w:rPr>
          <w:rFonts w:eastAsia="Candara" w:cs="Candara"/>
          <w:spacing w:val="1"/>
        </w:rPr>
        <w:t>r</w:t>
      </w:r>
      <w:r w:rsidRPr="007223FB">
        <w:rPr>
          <w:rFonts w:eastAsia="Candara" w:cs="Candara"/>
        </w:rPr>
        <w:t>a</w:t>
      </w:r>
      <w:r w:rsidRPr="007223FB">
        <w:rPr>
          <w:rFonts w:eastAsia="Candara" w:cs="Candara"/>
          <w:spacing w:val="-2"/>
        </w:rPr>
        <w:t xml:space="preserve"> </w:t>
      </w:r>
      <w:r w:rsidRPr="007223FB">
        <w:rPr>
          <w:rFonts w:eastAsia="Candara" w:cs="Candara"/>
        </w:rPr>
        <w:t>que</w:t>
      </w:r>
      <w:r w:rsidRPr="007223FB">
        <w:rPr>
          <w:rFonts w:eastAsia="Candara" w:cs="Candara"/>
          <w:spacing w:val="-2"/>
        </w:rPr>
        <w:t xml:space="preserve"> </w:t>
      </w:r>
      <w:r w:rsidRPr="007223FB">
        <w:rPr>
          <w:rFonts w:eastAsia="Candara" w:cs="Candara"/>
        </w:rPr>
        <w:t>a</w:t>
      </w:r>
      <w:r w:rsidRPr="007223FB">
        <w:rPr>
          <w:rFonts w:eastAsia="Candara" w:cs="Candara"/>
          <w:spacing w:val="-2"/>
        </w:rPr>
        <w:t xml:space="preserve"> </w:t>
      </w:r>
      <w:r w:rsidRPr="007223FB">
        <w:rPr>
          <w:rFonts w:eastAsia="Candara" w:cs="Candara"/>
        </w:rPr>
        <w:t>m</w:t>
      </w:r>
      <w:r w:rsidRPr="007223FB">
        <w:rPr>
          <w:rFonts w:eastAsia="Candara" w:cs="Candara"/>
          <w:spacing w:val="-2"/>
        </w:rPr>
        <w:t>a</w:t>
      </w:r>
      <w:r w:rsidRPr="007223FB">
        <w:rPr>
          <w:rFonts w:eastAsia="Candara" w:cs="Candara"/>
          <w:spacing w:val="1"/>
        </w:rPr>
        <w:t>y</w:t>
      </w:r>
      <w:r w:rsidRPr="007223FB">
        <w:rPr>
          <w:rFonts w:eastAsia="Candara" w:cs="Candara"/>
          <w:spacing w:val="-1"/>
        </w:rPr>
        <w:t>o</w:t>
      </w:r>
      <w:r w:rsidRPr="007223FB">
        <w:rPr>
          <w:rFonts w:eastAsia="Candara" w:cs="Candara"/>
        </w:rPr>
        <w:t>r</w:t>
      </w:r>
      <w:r w:rsidRPr="007223FB">
        <w:rPr>
          <w:rFonts w:eastAsia="Candara" w:cs="Candara"/>
          <w:spacing w:val="-1"/>
        </w:rPr>
        <w:t xml:space="preserve"> </w:t>
      </w:r>
      <w:r w:rsidRPr="007223FB">
        <w:rPr>
          <w:rFonts w:eastAsia="Candara" w:cs="Candara"/>
          <w:spacing w:val="-2"/>
        </w:rPr>
        <w:t>p</w:t>
      </w:r>
      <w:r w:rsidRPr="007223FB">
        <w:rPr>
          <w:rFonts w:eastAsia="Candara" w:cs="Candara"/>
          <w:spacing w:val="-1"/>
        </w:rPr>
        <w:t>o</w:t>
      </w:r>
      <w:r w:rsidRPr="007223FB">
        <w:rPr>
          <w:rFonts w:eastAsia="Candara" w:cs="Candara"/>
        </w:rPr>
        <w:t>r</w:t>
      </w:r>
      <w:r w:rsidRPr="007223FB">
        <w:rPr>
          <w:rFonts w:eastAsia="Candara" w:cs="Candara"/>
          <w:spacing w:val="1"/>
        </w:rPr>
        <w:t>c</w:t>
      </w:r>
      <w:r w:rsidRPr="007223FB">
        <w:rPr>
          <w:rFonts w:eastAsia="Candara" w:cs="Candara"/>
        </w:rPr>
        <w:t>e</w:t>
      </w:r>
      <w:r w:rsidRPr="007223FB">
        <w:rPr>
          <w:rFonts w:eastAsia="Candara" w:cs="Candara"/>
          <w:spacing w:val="1"/>
        </w:rPr>
        <w:t>n</w:t>
      </w:r>
      <w:r w:rsidRPr="007223FB">
        <w:rPr>
          <w:rFonts w:eastAsia="Candara" w:cs="Candara"/>
        </w:rPr>
        <w:t>taje</w:t>
      </w:r>
      <w:r w:rsidRPr="007223FB">
        <w:rPr>
          <w:rFonts w:eastAsia="Candara" w:cs="Candara"/>
          <w:spacing w:val="-5"/>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eje</w:t>
      </w:r>
      <w:r w:rsidRPr="007223FB">
        <w:rPr>
          <w:rFonts w:eastAsia="Candara" w:cs="Candara"/>
          <w:spacing w:val="1"/>
        </w:rPr>
        <w:t>c</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spacing w:val="1"/>
        </w:rPr>
        <w:t>h</w:t>
      </w:r>
      <w:r w:rsidRPr="007223FB">
        <w:rPr>
          <w:rFonts w:eastAsia="Candara" w:cs="Candara"/>
          <w:spacing w:val="-2"/>
        </w:rPr>
        <w:t>a</w:t>
      </w:r>
      <w:r w:rsidRPr="007223FB">
        <w:rPr>
          <w:rFonts w:eastAsia="Candara" w:cs="Candara"/>
        </w:rPr>
        <w:t>b</w:t>
      </w:r>
      <w:r w:rsidRPr="007223FB">
        <w:rPr>
          <w:rFonts w:eastAsia="Candara" w:cs="Candara"/>
          <w:spacing w:val="1"/>
        </w:rPr>
        <w:t>r</w:t>
      </w:r>
      <w:r w:rsidRPr="007223FB">
        <w:rPr>
          <w:rFonts w:eastAsia="Candara" w:cs="Candara"/>
        </w:rPr>
        <w:t>á</w:t>
      </w:r>
      <w:r w:rsidRPr="007223FB">
        <w:rPr>
          <w:rFonts w:eastAsia="Candara" w:cs="Candara"/>
          <w:spacing w:val="-2"/>
        </w:rPr>
        <w:t xml:space="preserve"> </w:t>
      </w:r>
      <w:r w:rsidRPr="007223FB">
        <w:rPr>
          <w:rFonts w:eastAsia="Candara" w:cs="Candara"/>
        </w:rPr>
        <w:t>ma</w:t>
      </w:r>
      <w:r w:rsidRPr="007223FB">
        <w:rPr>
          <w:rFonts w:eastAsia="Candara" w:cs="Candara"/>
          <w:spacing w:val="-2"/>
        </w:rPr>
        <w:t>y</w:t>
      </w:r>
      <w:r w:rsidRPr="007223FB">
        <w:rPr>
          <w:rFonts w:eastAsia="Candara" w:cs="Candara"/>
          <w:spacing w:val="-3"/>
        </w:rPr>
        <w:t>o</w:t>
      </w:r>
      <w:r w:rsidRPr="007223FB">
        <w:rPr>
          <w:rFonts w:eastAsia="Candara" w:cs="Candara"/>
        </w:rPr>
        <w:t>r efi</w:t>
      </w:r>
      <w:r w:rsidRPr="007223FB">
        <w:rPr>
          <w:rFonts w:eastAsia="Candara" w:cs="Candara"/>
          <w:spacing w:val="1"/>
        </w:rPr>
        <w:t>c</w:t>
      </w:r>
      <w:r w:rsidRPr="007223FB">
        <w:rPr>
          <w:rFonts w:eastAsia="Candara" w:cs="Candara"/>
        </w:rPr>
        <w:t>ie</w:t>
      </w:r>
      <w:r w:rsidRPr="007223FB">
        <w:rPr>
          <w:rFonts w:eastAsia="Candara" w:cs="Candara"/>
          <w:spacing w:val="1"/>
        </w:rPr>
        <w:t>nc</w:t>
      </w:r>
      <w:r w:rsidRPr="007223FB">
        <w:rPr>
          <w:rFonts w:eastAsia="Candara" w:cs="Candara"/>
          <w:spacing w:val="-2"/>
        </w:rPr>
        <w:t>i</w:t>
      </w:r>
      <w:r w:rsidRPr="007223FB">
        <w:rPr>
          <w:rFonts w:eastAsia="Candara" w:cs="Candara"/>
        </w:rPr>
        <w:t>a.</w:t>
      </w:r>
    </w:p>
    <w:p w:rsidR="00F73BA8" w:rsidRPr="007223FB" w:rsidRDefault="00F73BA8" w:rsidP="006C13F5">
      <w:pPr>
        <w:tabs>
          <w:tab w:val="left" w:pos="820"/>
        </w:tabs>
        <w:spacing w:before="120" w:after="120" w:line="240" w:lineRule="auto"/>
        <w:ind w:left="462" w:right="-20"/>
        <w:rPr>
          <w:rFonts w:eastAsia="Candara" w:cs="Candara"/>
          <w:b/>
        </w:rPr>
      </w:pPr>
      <w:r w:rsidRPr="007223FB">
        <w:rPr>
          <w:rFonts w:eastAsia="Candara" w:cs="Candara"/>
          <w:b/>
          <w:spacing w:val="1"/>
        </w:rPr>
        <w:t>c</w:t>
      </w:r>
      <w:r w:rsidRPr="007223FB">
        <w:rPr>
          <w:rFonts w:eastAsia="Candara" w:cs="Candara"/>
          <w:b/>
        </w:rPr>
        <w:t>.</w:t>
      </w:r>
      <w:r w:rsidRPr="007223FB">
        <w:rPr>
          <w:rFonts w:eastAsia="Candara" w:cs="Candara"/>
          <w:b/>
        </w:rPr>
        <w:tab/>
      </w:r>
      <w:r w:rsidRPr="007223FB">
        <w:rPr>
          <w:rFonts w:eastAsia="Candara" w:cs="Candara"/>
          <w:b/>
          <w:spacing w:val="1"/>
        </w:rPr>
        <w:t>An</w:t>
      </w:r>
      <w:r w:rsidRPr="007223FB">
        <w:rPr>
          <w:rFonts w:eastAsia="Candara" w:cs="Candara"/>
          <w:b/>
        </w:rPr>
        <w:t>ál</w:t>
      </w:r>
      <w:r w:rsidRPr="007223FB">
        <w:rPr>
          <w:rFonts w:eastAsia="Candara" w:cs="Candara"/>
          <w:b/>
          <w:spacing w:val="-2"/>
        </w:rPr>
        <w:t>i</w:t>
      </w:r>
      <w:r w:rsidRPr="007223FB">
        <w:rPr>
          <w:rFonts w:eastAsia="Candara" w:cs="Candara"/>
          <w:b/>
          <w:spacing w:val="1"/>
        </w:rPr>
        <w:t>s</w:t>
      </w:r>
      <w:r w:rsidRPr="007223FB">
        <w:rPr>
          <w:rFonts w:eastAsia="Candara" w:cs="Candara"/>
          <w:b/>
        </w:rPr>
        <w:t>is</w:t>
      </w:r>
      <w:r w:rsidRPr="007223FB">
        <w:rPr>
          <w:rFonts w:eastAsia="Candara" w:cs="Candara"/>
          <w:b/>
          <w:spacing w:val="-1"/>
        </w:rPr>
        <w:t xml:space="preserve"> </w:t>
      </w:r>
      <w:r w:rsidRPr="007223FB">
        <w:rPr>
          <w:rFonts w:eastAsia="Candara" w:cs="Candara"/>
          <w:b/>
          <w:spacing w:val="1"/>
        </w:rPr>
        <w:t>d</w:t>
      </w:r>
      <w:r w:rsidRPr="007223FB">
        <w:rPr>
          <w:rFonts w:eastAsia="Candara" w:cs="Candara"/>
          <w:b/>
        </w:rPr>
        <w:t xml:space="preserve">e </w:t>
      </w:r>
      <w:r w:rsidRPr="007223FB">
        <w:rPr>
          <w:rFonts w:eastAsia="Candara" w:cs="Candara"/>
          <w:b/>
          <w:spacing w:val="1"/>
        </w:rPr>
        <w:t>E</w:t>
      </w:r>
      <w:r w:rsidRPr="007223FB">
        <w:rPr>
          <w:rFonts w:eastAsia="Candara" w:cs="Candara"/>
          <w:b/>
        </w:rPr>
        <w:t>f</w:t>
      </w:r>
      <w:r w:rsidRPr="007223FB">
        <w:rPr>
          <w:rFonts w:eastAsia="Candara" w:cs="Candara"/>
          <w:b/>
          <w:spacing w:val="-2"/>
        </w:rPr>
        <w:t>i</w:t>
      </w:r>
      <w:r w:rsidRPr="007223FB">
        <w:rPr>
          <w:rFonts w:eastAsia="Candara" w:cs="Candara"/>
          <w:b/>
          <w:spacing w:val="1"/>
        </w:rPr>
        <w:t>c</w:t>
      </w:r>
      <w:r w:rsidRPr="007223FB">
        <w:rPr>
          <w:rFonts w:eastAsia="Candara" w:cs="Candara"/>
          <w:b/>
        </w:rPr>
        <w:t>a</w:t>
      </w:r>
      <w:r w:rsidRPr="007223FB">
        <w:rPr>
          <w:rFonts w:eastAsia="Candara" w:cs="Candara"/>
          <w:b/>
          <w:spacing w:val="1"/>
        </w:rPr>
        <w:t>c</w:t>
      </w:r>
      <w:r w:rsidRPr="007223FB">
        <w:rPr>
          <w:rFonts w:eastAsia="Candara" w:cs="Candara"/>
          <w:b/>
        </w:rPr>
        <w:t>ia</w:t>
      </w:r>
    </w:p>
    <w:p w:rsidR="00F73BA8" w:rsidRPr="007223FB" w:rsidRDefault="00F73BA8" w:rsidP="006C13F5">
      <w:pPr>
        <w:spacing w:before="120" w:after="120" w:line="240" w:lineRule="auto"/>
        <w:ind w:left="810" w:right="58"/>
        <w:rPr>
          <w:rFonts w:eastAsia="Candara" w:cs="Candara"/>
        </w:rPr>
      </w:pPr>
      <w:r w:rsidRPr="007223FB">
        <w:rPr>
          <w:rFonts w:eastAsia="Candara" w:cs="Candara"/>
          <w:spacing w:val="1"/>
        </w:rPr>
        <w:t>E</w:t>
      </w:r>
      <w:r w:rsidRPr="007223FB">
        <w:rPr>
          <w:rFonts w:eastAsia="Candara" w:cs="Candara"/>
        </w:rPr>
        <w:t>l</w:t>
      </w:r>
      <w:r w:rsidRPr="007223FB">
        <w:rPr>
          <w:rFonts w:eastAsia="Candara" w:cs="Candara"/>
          <w:spacing w:val="4"/>
        </w:rPr>
        <w:t xml:space="preserve"> </w:t>
      </w:r>
      <w:r w:rsidRPr="007223FB">
        <w:rPr>
          <w:rFonts w:eastAsia="Candara" w:cs="Candara"/>
          <w:spacing w:val="1"/>
        </w:rPr>
        <w:t>c</w:t>
      </w:r>
      <w:r w:rsidRPr="007223FB">
        <w:rPr>
          <w:rFonts w:eastAsia="Candara" w:cs="Candara"/>
        </w:rPr>
        <w:t>ual</w:t>
      </w:r>
      <w:r w:rsidRPr="007223FB">
        <w:rPr>
          <w:rFonts w:eastAsia="Candara" w:cs="Candara"/>
          <w:spacing w:val="1"/>
        </w:rPr>
        <w:t xml:space="preserve"> s</w:t>
      </w:r>
      <w:r w:rsidRPr="007223FB">
        <w:rPr>
          <w:rFonts w:eastAsia="Candara" w:cs="Candara"/>
        </w:rPr>
        <w:t>e</w:t>
      </w:r>
      <w:r w:rsidRPr="007223FB">
        <w:rPr>
          <w:rFonts w:eastAsia="Candara" w:cs="Candara"/>
          <w:spacing w:val="1"/>
        </w:rPr>
        <w:t xml:space="preserve"> r</w:t>
      </w:r>
      <w:r w:rsidRPr="007223FB">
        <w:rPr>
          <w:rFonts w:eastAsia="Candara" w:cs="Candara"/>
        </w:rPr>
        <w:t>eali</w:t>
      </w:r>
      <w:r w:rsidRPr="007223FB">
        <w:rPr>
          <w:rFonts w:eastAsia="Candara" w:cs="Candara"/>
          <w:spacing w:val="1"/>
        </w:rPr>
        <w:t>z</w:t>
      </w:r>
      <w:r w:rsidRPr="007223FB">
        <w:rPr>
          <w:rFonts w:eastAsia="Candara" w:cs="Candara"/>
        </w:rPr>
        <w:t>a</w:t>
      </w:r>
      <w:r w:rsidRPr="007223FB">
        <w:rPr>
          <w:rFonts w:eastAsia="Candara" w:cs="Candara"/>
          <w:spacing w:val="1"/>
        </w:rPr>
        <w:t xml:space="preserve"> c</w:t>
      </w:r>
      <w:r w:rsidRPr="007223FB">
        <w:rPr>
          <w:rFonts w:eastAsia="Candara" w:cs="Candara"/>
          <w:spacing w:val="-3"/>
        </w:rPr>
        <w:t>o</w:t>
      </w:r>
      <w:r w:rsidRPr="007223FB">
        <w:rPr>
          <w:rFonts w:eastAsia="Candara" w:cs="Candara"/>
          <w:spacing w:val="1"/>
        </w:rPr>
        <w:t>n</w:t>
      </w:r>
      <w:r w:rsidRPr="007223FB">
        <w:rPr>
          <w:rFonts w:eastAsia="Candara" w:cs="Candara"/>
        </w:rPr>
        <w:t>t</w:t>
      </w:r>
      <w:r w:rsidRPr="007223FB">
        <w:rPr>
          <w:rFonts w:eastAsia="Candara" w:cs="Candara"/>
          <w:spacing w:val="1"/>
        </w:rPr>
        <w:t>r</w:t>
      </w:r>
      <w:r w:rsidRPr="007223FB">
        <w:rPr>
          <w:rFonts w:eastAsia="Candara" w:cs="Candara"/>
          <w:spacing w:val="-2"/>
        </w:rPr>
        <w:t>a</w:t>
      </w:r>
      <w:r w:rsidRPr="007223FB">
        <w:rPr>
          <w:rFonts w:eastAsia="Candara" w:cs="Candara"/>
          <w:spacing w:val="1"/>
        </w:rPr>
        <w:t>s</w:t>
      </w:r>
      <w:r w:rsidRPr="007223FB">
        <w:rPr>
          <w:rFonts w:eastAsia="Candara" w:cs="Candara"/>
        </w:rPr>
        <w:t>ta</w:t>
      </w:r>
      <w:r w:rsidRPr="007223FB">
        <w:rPr>
          <w:rFonts w:eastAsia="Candara" w:cs="Candara"/>
          <w:spacing w:val="-2"/>
        </w:rPr>
        <w:t>n</w:t>
      </w:r>
      <w:r w:rsidRPr="007223FB">
        <w:rPr>
          <w:rFonts w:eastAsia="Candara" w:cs="Candara"/>
          <w:spacing w:val="1"/>
        </w:rPr>
        <w:t>d</w:t>
      </w:r>
      <w:r w:rsidRPr="007223FB">
        <w:rPr>
          <w:rFonts w:eastAsia="Candara" w:cs="Candara"/>
        </w:rPr>
        <w:t>o</w:t>
      </w:r>
      <w:r w:rsidRPr="007223FB">
        <w:rPr>
          <w:rFonts w:eastAsia="Candara" w:cs="Candara"/>
          <w:spacing w:val="3"/>
        </w:rPr>
        <w:t xml:space="preserve"> </w:t>
      </w:r>
      <w:r w:rsidRPr="007223FB">
        <w:rPr>
          <w:rFonts w:eastAsia="Candara" w:cs="Candara"/>
        </w:rPr>
        <w:t>las</w:t>
      </w:r>
      <w:r w:rsidRPr="007223FB">
        <w:rPr>
          <w:rFonts w:eastAsia="Candara" w:cs="Candara"/>
          <w:spacing w:val="3"/>
        </w:rPr>
        <w:t xml:space="preserve"> </w:t>
      </w:r>
      <w:r w:rsidRPr="007223FB">
        <w:rPr>
          <w:rFonts w:eastAsia="Candara" w:cs="Candara"/>
        </w:rPr>
        <w:t>metas</w:t>
      </w:r>
      <w:r w:rsidRPr="007223FB">
        <w:rPr>
          <w:rFonts w:eastAsia="Candara" w:cs="Candara"/>
          <w:spacing w:val="3"/>
        </w:rPr>
        <w:t xml:space="preserve"> </w:t>
      </w:r>
      <w:r w:rsidRPr="007223FB">
        <w:rPr>
          <w:rFonts w:eastAsia="Candara" w:cs="Candara"/>
          <w:spacing w:val="1"/>
        </w:rPr>
        <w:t>d</w:t>
      </w:r>
      <w:r w:rsidRPr="007223FB">
        <w:rPr>
          <w:rFonts w:eastAsia="Candara" w:cs="Candara"/>
        </w:rPr>
        <w:t>e</w:t>
      </w:r>
      <w:r w:rsidRPr="007223FB">
        <w:rPr>
          <w:rFonts w:eastAsia="Candara" w:cs="Candara"/>
          <w:spacing w:val="1"/>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ci</w:t>
      </w:r>
      <w:r w:rsidRPr="007223FB">
        <w:rPr>
          <w:rFonts w:eastAsia="Candara" w:cs="Candara"/>
          <w:spacing w:val="-1"/>
        </w:rPr>
        <w:t>ó</w:t>
      </w:r>
      <w:r w:rsidRPr="007223FB">
        <w:rPr>
          <w:rFonts w:eastAsia="Candara" w:cs="Candara"/>
        </w:rPr>
        <w:t>n</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t</w:t>
      </w:r>
      <w:r w:rsidRPr="007223FB">
        <w:rPr>
          <w:rFonts w:eastAsia="Candara" w:cs="Candara"/>
          <w:spacing w:val="-3"/>
        </w:rPr>
        <w:t>o</w:t>
      </w:r>
      <w:r w:rsidRPr="007223FB">
        <w:rPr>
          <w:rFonts w:eastAsia="Candara" w:cs="Candara"/>
          <w:spacing w:val="1"/>
        </w:rPr>
        <w:t>d</w:t>
      </w:r>
      <w:r w:rsidRPr="007223FB">
        <w:rPr>
          <w:rFonts w:eastAsia="Candara" w:cs="Candara"/>
          <w:spacing w:val="-1"/>
        </w:rPr>
        <w:t>o</w:t>
      </w:r>
      <w:r w:rsidRPr="007223FB">
        <w:rPr>
          <w:rFonts w:eastAsia="Candara" w:cs="Candara"/>
        </w:rPr>
        <w:t>s</w:t>
      </w:r>
      <w:r w:rsidRPr="007223FB">
        <w:rPr>
          <w:rFonts w:eastAsia="Candara" w:cs="Candara"/>
          <w:spacing w:val="5"/>
        </w:rPr>
        <w:t xml:space="preserve"> </w:t>
      </w:r>
      <w:r w:rsidRPr="007223FB">
        <w:rPr>
          <w:rFonts w:eastAsia="Candara" w:cs="Candara"/>
        </w:rPr>
        <w:t>l</w:t>
      </w:r>
      <w:r w:rsidRPr="007223FB">
        <w:rPr>
          <w:rFonts w:eastAsia="Candara" w:cs="Candara"/>
          <w:spacing w:val="-3"/>
        </w:rPr>
        <w:t>o</w:t>
      </w:r>
      <w:r w:rsidRPr="007223FB">
        <w:rPr>
          <w:rFonts w:eastAsia="Candara" w:cs="Candara"/>
        </w:rPr>
        <w:t>s</w:t>
      </w:r>
      <w:r w:rsidRPr="007223FB">
        <w:rPr>
          <w:rFonts w:eastAsia="Candara" w:cs="Candara"/>
          <w:spacing w:val="5"/>
        </w:rPr>
        <w:t xml:space="preserve"> </w:t>
      </w:r>
      <w:r w:rsidRPr="007223FB">
        <w:rPr>
          <w:rFonts w:eastAsia="Candara" w:cs="Candara"/>
          <w:spacing w:val="-2"/>
        </w:rPr>
        <w:t>p</w:t>
      </w:r>
      <w:r w:rsidRPr="007223FB">
        <w:rPr>
          <w:rFonts w:eastAsia="Candara" w:cs="Candara"/>
          <w:spacing w:val="-1"/>
        </w:rPr>
        <w:t>ro</w:t>
      </w:r>
      <w:r w:rsidRPr="007223FB">
        <w:rPr>
          <w:rFonts w:eastAsia="Candara" w:cs="Candara"/>
          <w:spacing w:val="1"/>
        </w:rPr>
        <w:t>d</w:t>
      </w:r>
      <w:r w:rsidRPr="007223FB">
        <w:rPr>
          <w:rFonts w:eastAsia="Candara" w:cs="Candara"/>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rPr>
        <w:t xml:space="preserve">s y </w:t>
      </w:r>
      <w:r w:rsidRPr="007223FB">
        <w:rPr>
          <w:rFonts w:eastAsia="Candara" w:cs="Candara"/>
          <w:spacing w:val="1"/>
        </w:rPr>
        <w:t>s</w:t>
      </w:r>
      <w:r w:rsidRPr="007223FB">
        <w:rPr>
          <w:rFonts w:eastAsia="Candara" w:cs="Candara"/>
        </w:rPr>
        <w:t>ubp</w:t>
      </w:r>
      <w:r w:rsidRPr="007223FB">
        <w:rPr>
          <w:rFonts w:eastAsia="Candara" w:cs="Candara"/>
          <w:spacing w:val="1"/>
        </w:rPr>
        <w:t>r</w:t>
      </w:r>
      <w:r w:rsidRPr="007223FB">
        <w:rPr>
          <w:rFonts w:eastAsia="Candara" w:cs="Candara"/>
          <w:spacing w:val="-1"/>
        </w:rPr>
        <w:t>o</w:t>
      </w:r>
      <w:r w:rsidRPr="007223FB">
        <w:rPr>
          <w:rFonts w:eastAsia="Candara" w:cs="Candara"/>
          <w:spacing w:val="1"/>
        </w:rPr>
        <w:t>d</w:t>
      </w:r>
      <w:r w:rsidRPr="007223FB">
        <w:rPr>
          <w:rFonts w:eastAsia="Candara" w:cs="Candara"/>
          <w:spacing w:val="-3"/>
        </w:rPr>
        <w:t>u</w:t>
      </w:r>
      <w:r w:rsidRPr="007223FB">
        <w:rPr>
          <w:rFonts w:eastAsia="Candara" w:cs="Candara"/>
          <w:spacing w:val="1"/>
        </w:rPr>
        <w:t>c</w:t>
      </w:r>
      <w:r w:rsidRPr="007223FB">
        <w:rPr>
          <w:rFonts w:eastAsia="Candara" w:cs="Candara"/>
        </w:rPr>
        <w:t>t</w:t>
      </w:r>
      <w:r w:rsidRPr="007223FB">
        <w:rPr>
          <w:rFonts w:eastAsia="Candara" w:cs="Candara"/>
          <w:spacing w:val="-1"/>
        </w:rPr>
        <w:t>o</w:t>
      </w:r>
      <w:r w:rsidRPr="007223FB">
        <w:rPr>
          <w:rFonts w:eastAsia="Candara" w:cs="Candara"/>
          <w:spacing w:val="1"/>
        </w:rPr>
        <w:t>s</w:t>
      </w:r>
      <w:r w:rsidRPr="007223FB">
        <w:rPr>
          <w:rFonts w:eastAsia="Candara" w:cs="Candara"/>
        </w:rPr>
        <w:t>,</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1"/>
        </w:rPr>
        <w:t>og</w:t>
      </w:r>
      <w:r w:rsidRPr="007223FB">
        <w:rPr>
          <w:rFonts w:eastAsia="Candara" w:cs="Candara"/>
          <w:spacing w:val="1"/>
        </w:rPr>
        <w:t>r</w:t>
      </w:r>
      <w:r w:rsidRPr="007223FB">
        <w:rPr>
          <w:rFonts w:eastAsia="Candara" w:cs="Candara"/>
        </w:rPr>
        <w:t>ama</w:t>
      </w:r>
      <w:r w:rsidRPr="007223FB">
        <w:rPr>
          <w:rFonts w:eastAsia="Candara" w:cs="Candara"/>
          <w:spacing w:val="-1"/>
        </w:rPr>
        <w:t>d</w:t>
      </w:r>
      <w:r w:rsidRPr="007223FB">
        <w:rPr>
          <w:rFonts w:eastAsia="Candara" w:cs="Candara"/>
        </w:rPr>
        <w:t>as</w:t>
      </w:r>
      <w:r w:rsidRPr="007223FB">
        <w:rPr>
          <w:rFonts w:eastAsia="Candara" w:cs="Candara"/>
          <w:spacing w:val="2"/>
        </w:rPr>
        <w:t xml:space="preserve"> </w:t>
      </w:r>
      <w:r w:rsidRPr="007223FB">
        <w:rPr>
          <w:rFonts w:eastAsia="Candara" w:cs="Candara"/>
          <w:spacing w:val="1"/>
        </w:rPr>
        <w:t>c</w:t>
      </w:r>
      <w:r w:rsidRPr="007223FB">
        <w:rPr>
          <w:rFonts w:eastAsia="Candara" w:cs="Candara"/>
          <w:spacing w:val="-3"/>
        </w:rPr>
        <w:t>o</w:t>
      </w:r>
      <w:r w:rsidRPr="007223FB">
        <w:rPr>
          <w:rFonts w:eastAsia="Candara" w:cs="Candara"/>
        </w:rPr>
        <w:t>n</w:t>
      </w:r>
      <w:r w:rsidRPr="007223FB">
        <w:rPr>
          <w:rFonts w:eastAsia="Candara" w:cs="Candara"/>
          <w:spacing w:val="1"/>
        </w:rPr>
        <w:t xml:space="preserve"> r</w:t>
      </w:r>
      <w:r w:rsidRPr="007223FB">
        <w:rPr>
          <w:rFonts w:eastAsia="Candara" w:cs="Candara"/>
          <w:spacing w:val="-3"/>
        </w:rPr>
        <w:t>e</w:t>
      </w:r>
      <w:r w:rsidRPr="007223FB">
        <w:rPr>
          <w:rFonts w:eastAsia="Candara" w:cs="Candara"/>
          <w:spacing w:val="1"/>
        </w:rPr>
        <w:t>s</w:t>
      </w:r>
      <w:r w:rsidRPr="007223FB">
        <w:rPr>
          <w:rFonts w:eastAsia="Candara" w:cs="Candara"/>
        </w:rPr>
        <w:t>p</w:t>
      </w:r>
      <w:r w:rsidRPr="007223FB">
        <w:rPr>
          <w:rFonts w:eastAsia="Candara" w:cs="Candara"/>
          <w:spacing w:val="-3"/>
        </w:rPr>
        <w:t>e</w:t>
      </w:r>
      <w:r w:rsidRPr="007223FB">
        <w:rPr>
          <w:rFonts w:eastAsia="Candara" w:cs="Candara"/>
          <w:spacing w:val="1"/>
        </w:rPr>
        <w:t>c</w:t>
      </w:r>
      <w:r w:rsidRPr="007223FB">
        <w:rPr>
          <w:rFonts w:eastAsia="Candara" w:cs="Candara"/>
        </w:rPr>
        <w:t xml:space="preserve">to al </w:t>
      </w:r>
      <w:r w:rsidRPr="007223FB">
        <w:rPr>
          <w:rFonts w:eastAsia="Candara" w:cs="Candara"/>
          <w:spacing w:val="1"/>
        </w:rPr>
        <w:t>n</w:t>
      </w:r>
      <w:r w:rsidRPr="007223FB">
        <w:rPr>
          <w:rFonts w:eastAsia="Candara" w:cs="Candara"/>
        </w:rPr>
        <w:t>ivel</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2"/>
        </w:rPr>
        <w:t xml:space="preserve"> e</w:t>
      </w:r>
      <w:r w:rsidRPr="007223FB">
        <w:rPr>
          <w:rFonts w:eastAsia="Candara" w:cs="Candara"/>
        </w:rPr>
        <w:t>je</w:t>
      </w:r>
      <w:r w:rsidRPr="007223FB">
        <w:rPr>
          <w:rFonts w:eastAsia="Candara" w:cs="Candara"/>
          <w:spacing w:val="1"/>
        </w:rPr>
        <w:t>c</w:t>
      </w:r>
      <w:r w:rsidRPr="007223FB">
        <w:rPr>
          <w:rFonts w:eastAsia="Candara" w:cs="Candara"/>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spacing w:val="1"/>
        </w:rPr>
        <w:t>n</w:t>
      </w:r>
      <w:r w:rsidRPr="007223FB">
        <w:rPr>
          <w:rFonts w:eastAsia="Candara" w:cs="Candara"/>
        </w:rPr>
        <w:t>.</w:t>
      </w:r>
      <w:r w:rsidRPr="007223FB">
        <w:rPr>
          <w:rFonts w:eastAsia="Candara" w:cs="Candara"/>
          <w:spacing w:val="-2"/>
        </w:rPr>
        <w:t xml:space="preserve"> </w:t>
      </w:r>
      <w:r w:rsidRPr="007223FB">
        <w:rPr>
          <w:rFonts w:eastAsia="Candara" w:cs="Candara"/>
        </w:rPr>
        <w:t>De i</w:t>
      </w:r>
      <w:r w:rsidRPr="007223FB">
        <w:rPr>
          <w:rFonts w:eastAsia="Candara" w:cs="Candara"/>
          <w:spacing w:val="1"/>
        </w:rPr>
        <w:t>g</w:t>
      </w:r>
      <w:r w:rsidRPr="007223FB">
        <w:rPr>
          <w:rFonts w:eastAsia="Candara" w:cs="Candara"/>
        </w:rPr>
        <w:t>ual</w:t>
      </w:r>
      <w:r w:rsidRPr="007223FB">
        <w:rPr>
          <w:rFonts w:eastAsia="Candara" w:cs="Candara"/>
          <w:spacing w:val="-2"/>
        </w:rPr>
        <w:t xml:space="preserve"> </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ma</w:t>
      </w:r>
      <w:r w:rsidRPr="007223FB">
        <w:rPr>
          <w:rFonts w:eastAsia="Candara" w:cs="Candara"/>
          <w:spacing w:val="-2"/>
        </w:rPr>
        <w:t xml:space="preserve"> </w:t>
      </w:r>
      <w:r w:rsidRPr="007223FB">
        <w:rPr>
          <w:rFonts w:eastAsia="Candara" w:cs="Candara"/>
        </w:rPr>
        <w:t>que en</w:t>
      </w:r>
      <w:r w:rsidRPr="007223FB">
        <w:rPr>
          <w:rFonts w:eastAsia="Candara" w:cs="Candara"/>
          <w:spacing w:val="1"/>
        </w:rPr>
        <w:t xml:space="preserve"> </w:t>
      </w:r>
      <w:r w:rsidRPr="007223FB">
        <w:rPr>
          <w:rFonts w:eastAsia="Candara" w:cs="Candara"/>
          <w:spacing w:val="-3"/>
        </w:rPr>
        <w:t>e</w:t>
      </w:r>
      <w:r w:rsidRPr="007223FB">
        <w:rPr>
          <w:rFonts w:eastAsia="Candara" w:cs="Candara"/>
        </w:rPr>
        <w:t>l p</w:t>
      </w:r>
      <w:r w:rsidRPr="007223FB">
        <w:rPr>
          <w:rFonts w:eastAsia="Candara" w:cs="Candara"/>
          <w:spacing w:val="1"/>
        </w:rPr>
        <w:t>r</w:t>
      </w:r>
      <w:r w:rsidRPr="007223FB">
        <w:rPr>
          <w:rFonts w:eastAsia="Candara" w:cs="Candara"/>
        </w:rPr>
        <w:t>i</w:t>
      </w:r>
      <w:r w:rsidRPr="007223FB">
        <w:rPr>
          <w:rFonts w:eastAsia="Candara" w:cs="Candara"/>
          <w:spacing w:val="-2"/>
        </w:rPr>
        <w:t>n</w:t>
      </w:r>
      <w:r w:rsidRPr="007223FB">
        <w:rPr>
          <w:rFonts w:eastAsia="Candara" w:cs="Candara"/>
          <w:spacing w:val="1"/>
        </w:rPr>
        <w:t>c</w:t>
      </w:r>
      <w:r w:rsidRPr="007223FB">
        <w:rPr>
          <w:rFonts w:eastAsia="Candara" w:cs="Candara"/>
        </w:rPr>
        <w:t xml:space="preserve">ipio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ef</w:t>
      </w:r>
      <w:r w:rsidRPr="007223FB">
        <w:rPr>
          <w:rFonts w:eastAsia="Candara" w:cs="Candara"/>
          <w:spacing w:val="-2"/>
        </w:rPr>
        <w:t>i</w:t>
      </w:r>
      <w:r w:rsidRPr="007223FB">
        <w:rPr>
          <w:rFonts w:eastAsia="Candara" w:cs="Candara"/>
          <w:spacing w:val="1"/>
        </w:rPr>
        <w:t>c</w:t>
      </w:r>
      <w:r w:rsidRPr="007223FB">
        <w:rPr>
          <w:rFonts w:eastAsia="Candara" w:cs="Candara"/>
        </w:rPr>
        <w:t>ie</w:t>
      </w:r>
      <w:r w:rsidRPr="007223FB">
        <w:rPr>
          <w:rFonts w:eastAsia="Candara" w:cs="Candara"/>
          <w:spacing w:val="-2"/>
        </w:rPr>
        <w:t>n</w:t>
      </w:r>
      <w:r w:rsidRPr="007223FB">
        <w:rPr>
          <w:rFonts w:eastAsia="Candara" w:cs="Candara"/>
          <w:spacing w:val="1"/>
        </w:rPr>
        <w:t>c</w:t>
      </w:r>
      <w:r w:rsidRPr="007223FB">
        <w:rPr>
          <w:rFonts w:eastAsia="Candara" w:cs="Candara"/>
        </w:rPr>
        <w:t xml:space="preserve">ia, </w:t>
      </w:r>
      <w:r w:rsidRPr="007223FB">
        <w:rPr>
          <w:rFonts w:eastAsia="Candara" w:cs="Candara"/>
          <w:spacing w:val="1"/>
        </w:rPr>
        <w:t>s</w:t>
      </w:r>
      <w:r w:rsidRPr="007223FB">
        <w:rPr>
          <w:rFonts w:eastAsia="Candara" w:cs="Candara"/>
        </w:rPr>
        <w:t xml:space="preserve">e </w:t>
      </w:r>
      <w:r w:rsidRPr="007223FB">
        <w:rPr>
          <w:rFonts w:eastAsia="Candara" w:cs="Candara"/>
          <w:spacing w:val="1"/>
        </w:rPr>
        <w:t>c</w:t>
      </w:r>
      <w:r w:rsidRPr="007223FB">
        <w:rPr>
          <w:rFonts w:eastAsia="Candara" w:cs="Candara"/>
          <w:spacing w:val="-1"/>
        </w:rPr>
        <w:t>o</w:t>
      </w:r>
      <w:r w:rsidRPr="007223FB">
        <w:rPr>
          <w:rFonts w:eastAsia="Candara" w:cs="Candara"/>
          <w:spacing w:val="1"/>
        </w:rPr>
        <w:t>ns</w:t>
      </w:r>
      <w:r w:rsidRPr="007223FB">
        <w:rPr>
          <w:rFonts w:eastAsia="Candara" w:cs="Candara"/>
          <w:spacing w:val="-2"/>
        </w:rPr>
        <w:t>i</w:t>
      </w:r>
      <w:r w:rsidRPr="007223FB">
        <w:rPr>
          <w:rFonts w:eastAsia="Candara" w:cs="Candara"/>
          <w:spacing w:val="1"/>
        </w:rPr>
        <w:t>d</w:t>
      </w:r>
      <w:r w:rsidRPr="007223FB">
        <w:rPr>
          <w:rFonts w:eastAsia="Candara" w:cs="Candara"/>
        </w:rPr>
        <w:t>e</w:t>
      </w:r>
      <w:r w:rsidRPr="007223FB">
        <w:rPr>
          <w:rFonts w:eastAsia="Candara" w:cs="Candara"/>
          <w:spacing w:val="1"/>
        </w:rPr>
        <w:t>r</w:t>
      </w:r>
      <w:r w:rsidRPr="007223FB">
        <w:rPr>
          <w:rFonts w:eastAsia="Candara" w:cs="Candara"/>
        </w:rPr>
        <w:t>a</w:t>
      </w:r>
      <w:r w:rsidRPr="007223FB">
        <w:rPr>
          <w:rFonts w:eastAsia="Candara" w:cs="Candara"/>
          <w:spacing w:val="1"/>
        </w:rPr>
        <w:t xml:space="preserve"> </w:t>
      </w:r>
      <w:r w:rsidRPr="007223FB">
        <w:rPr>
          <w:rFonts w:eastAsia="Candara" w:cs="Candara"/>
        </w:rPr>
        <w:t>que</w:t>
      </w:r>
      <w:r w:rsidRPr="007223FB">
        <w:rPr>
          <w:rFonts w:eastAsia="Candara" w:cs="Candara"/>
          <w:spacing w:val="3"/>
        </w:rPr>
        <w:t xml:space="preserve"> </w:t>
      </w:r>
      <w:r w:rsidRPr="007223FB">
        <w:rPr>
          <w:rFonts w:eastAsia="Candara" w:cs="Candara"/>
        </w:rPr>
        <w:t>a</w:t>
      </w:r>
      <w:r w:rsidRPr="007223FB">
        <w:rPr>
          <w:rFonts w:eastAsia="Candara" w:cs="Candara"/>
          <w:spacing w:val="1"/>
        </w:rPr>
        <w:t xml:space="preserve"> </w:t>
      </w:r>
      <w:r w:rsidRPr="007223FB">
        <w:rPr>
          <w:rFonts w:eastAsia="Candara" w:cs="Candara"/>
        </w:rPr>
        <w:t>ma</w:t>
      </w:r>
      <w:r w:rsidRPr="007223FB">
        <w:rPr>
          <w:rFonts w:eastAsia="Candara" w:cs="Candara"/>
          <w:spacing w:val="1"/>
        </w:rPr>
        <w:t>y</w:t>
      </w:r>
      <w:r w:rsidRPr="007223FB">
        <w:rPr>
          <w:rFonts w:eastAsia="Candara" w:cs="Candara"/>
          <w:spacing w:val="-3"/>
        </w:rPr>
        <w:t>o</w:t>
      </w:r>
      <w:r w:rsidRPr="007223FB">
        <w:rPr>
          <w:rFonts w:eastAsia="Candara" w:cs="Candara"/>
        </w:rPr>
        <w:t>r</w:t>
      </w:r>
      <w:r w:rsidRPr="007223FB">
        <w:rPr>
          <w:rFonts w:eastAsia="Candara" w:cs="Candara"/>
          <w:spacing w:val="4"/>
        </w:rPr>
        <w:t xml:space="preserve"> </w:t>
      </w:r>
      <w:r w:rsidRPr="007223FB">
        <w:rPr>
          <w:rFonts w:eastAsia="Candara" w:cs="Candara"/>
        </w:rPr>
        <w:t>p</w:t>
      </w:r>
      <w:r w:rsidRPr="007223FB">
        <w:rPr>
          <w:rFonts w:eastAsia="Candara" w:cs="Candara"/>
          <w:spacing w:val="-3"/>
        </w:rPr>
        <w:t>o</w:t>
      </w:r>
      <w:r w:rsidRPr="007223FB">
        <w:rPr>
          <w:rFonts w:eastAsia="Candara" w:cs="Candara"/>
          <w:spacing w:val="1"/>
        </w:rPr>
        <w:t>rc</w:t>
      </w:r>
      <w:r w:rsidRPr="007223FB">
        <w:rPr>
          <w:rFonts w:eastAsia="Candara" w:cs="Candara"/>
        </w:rPr>
        <w:t>e</w:t>
      </w:r>
      <w:r w:rsidRPr="007223FB">
        <w:rPr>
          <w:rFonts w:eastAsia="Candara" w:cs="Candara"/>
          <w:spacing w:val="-3"/>
        </w:rPr>
        <w:t>n</w:t>
      </w:r>
      <w:r w:rsidRPr="007223FB">
        <w:rPr>
          <w:rFonts w:eastAsia="Candara" w:cs="Candara"/>
        </w:rPr>
        <w:t xml:space="preserve">taje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ej</w:t>
      </w:r>
      <w:r w:rsidRPr="007223FB">
        <w:rPr>
          <w:rFonts w:eastAsia="Candara" w:cs="Candara"/>
          <w:spacing w:val="-3"/>
        </w:rPr>
        <w:t>e</w:t>
      </w:r>
      <w:r w:rsidRPr="007223FB">
        <w:rPr>
          <w:rFonts w:eastAsia="Candara" w:cs="Candara"/>
          <w:spacing w:val="1"/>
        </w:rPr>
        <w:t>c</w:t>
      </w:r>
      <w:r w:rsidRPr="007223FB">
        <w:rPr>
          <w:rFonts w:eastAsia="Candara" w:cs="Candara"/>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h</w:t>
      </w:r>
      <w:r w:rsidRPr="007223FB">
        <w:rPr>
          <w:rFonts w:eastAsia="Candara" w:cs="Candara"/>
        </w:rPr>
        <w:t>a</w:t>
      </w:r>
      <w:r w:rsidRPr="007223FB">
        <w:rPr>
          <w:rFonts w:eastAsia="Candara" w:cs="Candara"/>
          <w:spacing w:val="-2"/>
        </w:rPr>
        <w:t>b</w:t>
      </w:r>
      <w:r w:rsidRPr="007223FB">
        <w:rPr>
          <w:rFonts w:eastAsia="Candara" w:cs="Candara"/>
          <w:spacing w:val="1"/>
        </w:rPr>
        <w:t>r</w:t>
      </w:r>
      <w:r w:rsidRPr="007223FB">
        <w:rPr>
          <w:rFonts w:eastAsia="Candara" w:cs="Candara"/>
        </w:rPr>
        <w:t>á</w:t>
      </w:r>
      <w:r w:rsidRPr="007223FB">
        <w:rPr>
          <w:rFonts w:eastAsia="Candara" w:cs="Candara"/>
          <w:spacing w:val="3"/>
        </w:rPr>
        <w:t xml:space="preserve"> </w:t>
      </w:r>
      <w:r w:rsidRPr="007223FB">
        <w:rPr>
          <w:rFonts w:eastAsia="Candara" w:cs="Candara"/>
        </w:rPr>
        <w:t>ma</w:t>
      </w:r>
      <w:r w:rsidRPr="007223FB">
        <w:rPr>
          <w:rFonts w:eastAsia="Candara" w:cs="Candara"/>
          <w:spacing w:val="-2"/>
        </w:rPr>
        <w:t>y</w:t>
      </w:r>
      <w:r w:rsidRPr="007223FB">
        <w:rPr>
          <w:rFonts w:eastAsia="Candara" w:cs="Candara"/>
          <w:spacing w:val="-3"/>
        </w:rPr>
        <w:t>o</w:t>
      </w:r>
      <w:r w:rsidRPr="007223FB">
        <w:rPr>
          <w:rFonts w:eastAsia="Candara" w:cs="Candara"/>
        </w:rPr>
        <w:t>r efi</w:t>
      </w:r>
      <w:r w:rsidRPr="007223FB">
        <w:rPr>
          <w:rFonts w:eastAsia="Candara" w:cs="Candara"/>
          <w:spacing w:val="1"/>
        </w:rPr>
        <w:t>c</w:t>
      </w:r>
      <w:r w:rsidRPr="007223FB">
        <w:rPr>
          <w:rFonts w:eastAsia="Candara" w:cs="Candara"/>
        </w:rPr>
        <w:t>a</w:t>
      </w:r>
      <w:r w:rsidRPr="007223FB">
        <w:rPr>
          <w:rFonts w:eastAsia="Candara" w:cs="Candara"/>
          <w:spacing w:val="1"/>
        </w:rPr>
        <w:t>c</w:t>
      </w:r>
      <w:r w:rsidRPr="007223FB">
        <w:rPr>
          <w:rFonts w:eastAsia="Candara" w:cs="Candara"/>
        </w:rPr>
        <w:t>ia.</w:t>
      </w:r>
    </w:p>
    <w:p w:rsidR="00F73BA8" w:rsidRPr="007223FB" w:rsidRDefault="00F73BA8" w:rsidP="006C13F5">
      <w:pPr>
        <w:spacing w:before="120" w:after="120" w:line="240" w:lineRule="auto"/>
        <w:ind w:left="462" w:right="-20"/>
        <w:rPr>
          <w:rFonts w:eastAsia="Candara" w:cs="Candara"/>
          <w:b/>
        </w:rPr>
      </w:pPr>
      <w:r w:rsidRPr="007223FB">
        <w:rPr>
          <w:rFonts w:eastAsia="Candara" w:cs="Candara"/>
          <w:b/>
          <w:spacing w:val="1"/>
        </w:rPr>
        <w:t>d</w:t>
      </w:r>
      <w:r w:rsidRPr="007223FB">
        <w:rPr>
          <w:rFonts w:eastAsia="Candara" w:cs="Candara"/>
          <w:b/>
        </w:rPr>
        <w:t xml:space="preserve">.  </w:t>
      </w:r>
      <w:r w:rsidRPr="007223FB">
        <w:rPr>
          <w:rFonts w:eastAsia="Candara" w:cs="Candara"/>
          <w:b/>
          <w:spacing w:val="39"/>
        </w:rPr>
        <w:t xml:space="preserve"> </w:t>
      </w:r>
      <w:r w:rsidRPr="007223FB">
        <w:rPr>
          <w:rFonts w:eastAsia="Candara" w:cs="Candara"/>
          <w:b/>
          <w:spacing w:val="1"/>
        </w:rPr>
        <w:t>An</w:t>
      </w:r>
      <w:r w:rsidRPr="007223FB">
        <w:rPr>
          <w:rFonts w:eastAsia="Candara" w:cs="Candara"/>
          <w:b/>
        </w:rPr>
        <w:t>ál</w:t>
      </w:r>
      <w:r w:rsidRPr="007223FB">
        <w:rPr>
          <w:rFonts w:eastAsia="Candara" w:cs="Candara"/>
          <w:b/>
          <w:spacing w:val="-2"/>
        </w:rPr>
        <w:t>i</w:t>
      </w:r>
      <w:r w:rsidRPr="007223FB">
        <w:rPr>
          <w:rFonts w:eastAsia="Candara" w:cs="Candara"/>
          <w:b/>
          <w:spacing w:val="1"/>
        </w:rPr>
        <w:t>s</w:t>
      </w:r>
      <w:r w:rsidRPr="007223FB">
        <w:rPr>
          <w:rFonts w:eastAsia="Candara" w:cs="Candara"/>
          <w:b/>
        </w:rPr>
        <w:t>is</w:t>
      </w:r>
      <w:r w:rsidRPr="007223FB">
        <w:rPr>
          <w:rFonts w:eastAsia="Candara" w:cs="Candara"/>
          <w:b/>
          <w:spacing w:val="-1"/>
        </w:rPr>
        <w:t xml:space="preserve"> </w:t>
      </w:r>
      <w:r w:rsidRPr="007223FB">
        <w:rPr>
          <w:rFonts w:eastAsia="Candara" w:cs="Candara"/>
          <w:b/>
          <w:spacing w:val="1"/>
        </w:rPr>
        <w:t>d</w:t>
      </w:r>
      <w:r w:rsidRPr="007223FB">
        <w:rPr>
          <w:rFonts w:eastAsia="Candara" w:cs="Candara"/>
          <w:b/>
        </w:rPr>
        <w:t xml:space="preserve">e </w:t>
      </w:r>
      <w:r w:rsidRPr="007223FB">
        <w:rPr>
          <w:rFonts w:eastAsia="Candara" w:cs="Candara"/>
          <w:b/>
          <w:spacing w:val="1"/>
        </w:rPr>
        <w:t>E</w:t>
      </w:r>
      <w:r w:rsidRPr="007223FB">
        <w:rPr>
          <w:rFonts w:eastAsia="Candara" w:cs="Candara"/>
          <w:b/>
        </w:rPr>
        <w:t>qu</w:t>
      </w:r>
      <w:r w:rsidRPr="007223FB">
        <w:rPr>
          <w:rFonts w:eastAsia="Candara" w:cs="Candara"/>
          <w:b/>
          <w:spacing w:val="-2"/>
        </w:rPr>
        <w:t>i</w:t>
      </w:r>
      <w:r w:rsidRPr="007223FB">
        <w:rPr>
          <w:rFonts w:eastAsia="Candara" w:cs="Candara"/>
          <w:b/>
          <w:spacing w:val="1"/>
        </w:rPr>
        <w:t>d</w:t>
      </w:r>
      <w:r w:rsidRPr="007223FB">
        <w:rPr>
          <w:rFonts w:eastAsia="Candara" w:cs="Candara"/>
          <w:b/>
        </w:rPr>
        <w:t>ad</w:t>
      </w:r>
    </w:p>
    <w:p w:rsidR="00F73BA8" w:rsidRPr="007223FB" w:rsidRDefault="00F73BA8" w:rsidP="006C13F5">
      <w:pPr>
        <w:spacing w:before="120" w:after="120" w:line="240" w:lineRule="auto"/>
        <w:ind w:left="810" w:right="59"/>
        <w:rPr>
          <w:rFonts w:eastAsia="Candara" w:cs="Candara"/>
        </w:rPr>
      </w:pPr>
      <w:r w:rsidRPr="007223FB">
        <w:rPr>
          <w:rFonts w:eastAsia="Candara" w:cs="Candara"/>
          <w:spacing w:val="1"/>
        </w:rPr>
        <w:t>E</w:t>
      </w:r>
      <w:r w:rsidRPr="007223FB">
        <w:rPr>
          <w:rFonts w:eastAsia="Candara" w:cs="Candara"/>
        </w:rPr>
        <w:t>n</w:t>
      </w:r>
      <w:r w:rsidRPr="007223FB">
        <w:rPr>
          <w:rFonts w:eastAsia="Candara" w:cs="Candara"/>
          <w:spacing w:val="3"/>
        </w:rPr>
        <w:t xml:space="preserve"> </w:t>
      </w:r>
      <w:r w:rsidRPr="007223FB">
        <w:rPr>
          <w:rFonts w:eastAsia="Candara" w:cs="Candara"/>
          <w:spacing w:val="-3"/>
        </w:rPr>
        <w:t>e</w:t>
      </w:r>
      <w:r w:rsidRPr="007223FB">
        <w:rPr>
          <w:rFonts w:eastAsia="Candara" w:cs="Candara"/>
          <w:spacing w:val="1"/>
        </w:rPr>
        <w:t>s</w:t>
      </w:r>
      <w:r w:rsidRPr="007223FB">
        <w:rPr>
          <w:rFonts w:eastAsia="Candara" w:cs="Candara"/>
        </w:rPr>
        <w:t>te</w:t>
      </w:r>
      <w:r w:rsidRPr="007223FB">
        <w:rPr>
          <w:rFonts w:eastAsia="Candara" w:cs="Candara"/>
          <w:spacing w:val="2"/>
        </w:rPr>
        <w:t xml:space="preserve"> </w:t>
      </w:r>
      <w:r w:rsidRPr="007223FB">
        <w:rPr>
          <w:rFonts w:eastAsia="Candara" w:cs="Candara"/>
        </w:rPr>
        <w:t>ap</w:t>
      </w:r>
      <w:r w:rsidRPr="007223FB">
        <w:rPr>
          <w:rFonts w:eastAsia="Candara" w:cs="Candara"/>
          <w:spacing w:val="-2"/>
        </w:rPr>
        <w:t>a</w:t>
      </w:r>
      <w:r w:rsidRPr="007223FB">
        <w:rPr>
          <w:rFonts w:eastAsia="Candara" w:cs="Candara"/>
          <w:spacing w:val="1"/>
        </w:rPr>
        <w:t>r</w:t>
      </w:r>
      <w:r w:rsidRPr="007223FB">
        <w:rPr>
          <w:rFonts w:eastAsia="Candara" w:cs="Candara"/>
        </w:rPr>
        <w:t>ta</w:t>
      </w:r>
      <w:r w:rsidRPr="007223FB">
        <w:rPr>
          <w:rFonts w:eastAsia="Candara" w:cs="Candara"/>
          <w:spacing w:val="1"/>
        </w:rPr>
        <w:t>d</w:t>
      </w:r>
      <w:r w:rsidRPr="007223FB">
        <w:rPr>
          <w:rFonts w:eastAsia="Candara" w:cs="Candara"/>
        </w:rPr>
        <w:t xml:space="preserve">o </w:t>
      </w:r>
      <w:r w:rsidRPr="007223FB">
        <w:rPr>
          <w:rFonts w:eastAsia="Candara" w:cs="Candara"/>
          <w:spacing w:val="1"/>
        </w:rPr>
        <w:t>s</w:t>
      </w:r>
      <w:r w:rsidRPr="007223FB">
        <w:rPr>
          <w:rFonts w:eastAsia="Candara" w:cs="Candara"/>
        </w:rPr>
        <w:t xml:space="preserve">e </w:t>
      </w:r>
      <w:r w:rsidRPr="007223FB">
        <w:rPr>
          <w:rFonts w:eastAsia="Candara" w:cs="Candara"/>
          <w:spacing w:val="1"/>
        </w:rPr>
        <w:t>r</w:t>
      </w:r>
      <w:r w:rsidRPr="007223FB">
        <w:rPr>
          <w:rFonts w:eastAsia="Candara" w:cs="Candara"/>
        </w:rPr>
        <w:t>evi</w:t>
      </w:r>
      <w:r w:rsidRPr="007223FB">
        <w:rPr>
          <w:rFonts w:eastAsia="Candara" w:cs="Candara"/>
          <w:spacing w:val="1"/>
        </w:rPr>
        <w:t>s</w:t>
      </w:r>
      <w:r w:rsidRPr="007223FB">
        <w:rPr>
          <w:rFonts w:eastAsia="Candara" w:cs="Candara"/>
        </w:rPr>
        <w:t xml:space="preserve">a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m</w:t>
      </w:r>
      <w:r w:rsidRPr="007223FB">
        <w:rPr>
          <w:rFonts w:eastAsia="Candara" w:cs="Candara"/>
          <w:spacing w:val="-2"/>
        </w:rPr>
        <w:t>a</w:t>
      </w:r>
      <w:r w:rsidRPr="007223FB">
        <w:rPr>
          <w:rFonts w:eastAsia="Candara" w:cs="Candara"/>
          <w:spacing w:val="1"/>
        </w:rPr>
        <w:t>n</w:t>
      </w:r>
      <w:r w:rsidRPr="007223FB">
        <w:rPr>
          <w:rFonts w:eastAsia="Candara" w:cs="Candara"/>
        </w:rPr>
        <w:t>e</w:t>
      </w:r>
      <w:r w:rsidRPr="007223FB">
        <w:rPr>
          <w:rFonts w:eastAsia="Candara" w:cs="Candara"/>
          <w:spacing w:val="1"/>
        </w:rPr>
        <w:t>r</w:t>
      </w:r>
      <w:r w:rsidRPr="007223FB">
        <w:rPr>
          <w:rFonts w:eastAsia="Candara" w:cs="Candara"/>
        </w:rPr>
        <w:t xml:space="preserve">a </w:t>
      </w:r>
      <w:r w:rsidRPr="007223FB">
        <w:rPr>
          <w:rFonts w:eastAsia="Candara" w:cs="Candara"/>
          <w:spacing w:val="1"/>
        </w:rPr>
        <w:t>g</w:t>
      </w:r>
      <w:r w:rsidRPr="007223FB">
        <w:rPr>
          <w:rFonts w:eastAsia="Candara" w:cs="Candara"/>
        </w:rPr>
        <w:t>l</w:t>
      </w:r>
      <w:r w:rsidRPr="007223FB">
        <w:rPr>
          <w:rFonts w:eastAsia="Candara" w:cs="Candara"/>
          <w:spacing w:val="-1"/>
        </w:rPr>
        <w:t>o</w:t>
      </w:r>
      <w:r w:rsidRPr="007223FB">
        <w:rPr>
          <w:rFonts w:eastAsia="Candara" w:cs="Candara"/>
        </w:rPr>
        <w:t>bal</w:t>
      </w:r>
      <w:r w:rsidRPr="007223FB">
        <w:rPr>
          <w:rFonts w:eastAsia="Candara" w:cs="Candara"/>
          <w:spacing w:val="3"/>
        </w:rPr>
        <w:t xml:space="preserve"> </w:t>
      </w:r>
      <w:r w:rsidRPr="007223FB">
        <w:rPr>
          <w:rFonts w:eastAsia="Candara" w:cs="Candara"/>
          <w:spacing w:val="-2"/>
        </w:rPr>
        <w:t>a</w:t>
      </w:r>
      <w:r w:rsidRPr="007223FB">
        <w:rPr>
          <w:rFonts w:eastAsia="Candara" w:cs="Candara"/>
          <w:spacing w:val="1"/>
        </w:rPr>
        <w:t>s</w:t>
      </w:r>
      <w:r w:rsidRPr="007223FB">
        <w:rPr>
          <w:rFonts w:eastAsia="Candara" w:cs="Candara"/>
        </w:rPr>
        <w:t>pe</w:t>
      </w:r>
      <w:r w:rsidRPr="007223FB">
        <w:rPr>
          <w:rFonts w:eastAsia="Candara" w:cs="Candara"/>
          <w:spacing w:val="1"/>
        </w:rPr>
        <w:t>c</w:t>
      </w:r>
      <w:r w:rsidRPr="007223FB">
        <w:rPr>
          <w:rFonts w:eastAsia="Candara" w:cs="Candara"/>
        </w:rPr>
        <w:t>t</w:t>
      </w:r>
      <w:r w:rsidRPr="007223FB">
        <w:rPr>
          <w:rFonts w:eastAsia="Candara" w:cs="Candara"/>
          <w:spacing w:val="-3"/>
        </w:rPr>
        <w:t>o</w:t>
      </w:r>
      <w:r w:rsidRPr="007223FB">
        <w:rPr>
          <w:rFonts w:eastAsia="Candara" w:cs="Candara"/>
        </w:rPr>
        <w:t xml:space="preserve">s </w:t>
      </w:r>
      <w:r w:rsidRPr="007223FB">
        <w:rPr>
          <w:rFonts w:eastAsia="Candara" w:cs="Candara"/>
          <w:spacing w:val="1"/>
        </w:rPr>
        <w:t>c</w:t>
      </w:r>
      <w:r w:rsidRPr="007223FB">
        <w:rPr>
          <w:rFonts w:eastAsia="Candara" w:cs="Candara"/>
          <w:spacing w:val="-1"/>
        </w:rPr>
        <w:t>o</w:t>
      </w:r>
      <w:r w:rsidRPr="007223FB">
        <w:rPr>
          <w:rFonts w:eastAsia="Candara" w:cs="Candara"/>
        </w:rPr>
        <w:t>m</w:t>
      </w:r>
      <w:r w:rsidRPr="007223FB">
        <w:rPr>
          <w:rFonts w:eastAsia="Candara" w:cs="Candara"/>
          <w:spacing w:val="-1"/>
        </w:rPr>
        <w:t>o</w:t>
      </w:r>
      <w:r w:rsidRPr="007223FB">
        <w:rPr>
          <w:rFonts w:eastAsia="Candara" w:cs="Candara"/>
        </w:rPr>
        <w:t>:</w:t>
      </w:r>
      <w:r w:rsidRPr="007223FB">
        <w:rPr>
          <w:rFonts w:eastAsia="Candara" w:cs="Candara"/>
          <w:spacing w:val="2"/>
        </w:rPr>
        <w:t xml:space="preserve"> </w:t>
      </w:r>
      <w:r w:rsidRPr="007223FB">
        <w:rPr>
          <w:rFonts w:eastAsia="Candara" w:cs="Candara"/>
        </w:rPr>
        <w:t>a)</w:t>
      </w:r>
      <w:r w:rsidRPr="007223FB">
        <w:rPr>
          <w:rFonts w:eastAsia="Candara" w:cs="Candara"/>
          <w:spacing w:val="2"/>
        </w:rPr>
        <w:t xml:space="preserve"> </w:t>
      </w:r>
      <w:r w:rsidRPr="007223FB">
        <w:rPr>
          <w:rFonts w:eastAsia="Candara" w:cs="Candara"/>
          <w:spacing w:val="1"/>
        </w:rPr>
        <w:t>n</w:t>
      </w:r>
      <w:r w:rsidRPr="007223FB">
        <w:rPr>
          <w:rFonts w:eastAsia="Candara" w:cs="Candara"/>
        </w:rPr>
        <w:t>úme</w:t>
      </w:r>
      <w:r w:rsidRPr="007223FB">
        <w:rPr>
          <w:rFonts w:eastAsia="Candara" w:cs="Candara"/>
          <w:spacing w:val="1"/>
        </w:rPr>
        <w:t>r</w:t>
      </w:r>
      <w:r w:rsidRPr="007223FB">
        <w:rPr>
          <w:rFonts w:eastAsia="Candara" w:cs="Candara"/>
        </w:rPr>
        <w:t xml:space="preserve">o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be</w:t>
      </w:r>
      <w:r w:rsidRPr="007223FB">
        <w:rPr>
          <w:rFonts w:eastAsia="Candara" w:cs="Candara"/>
          <w:spacing w:val="-2"/>
        </w:rPr>
        <w:t>n</w:t>
      </w:r>
      <w:r w:rsidRPr="007223FB">
        <w:rPr>
          <w:rFonts w:eastAsia="Candara" w:cs="Candara"/>
        </w:rPr>
        <w:t>efi</w:t>
      </w:r>
      <w:r w:rsidRPr="007223FB">
        <w:rPr>
          <w:rFonts w:eastAsia="Candara" w:cs="Candara"/>
          <w:spacing w:val="1"/>
        </w:rPr>
        <w:t>c</w:t>
      </w:r>
      <w:r w:rsidRPr="007223FB">
        <w:rPr>
          <w:rFonts w:eastAsia="Candara" w:cs="Candara"/>
        </w:rPr>
        <w:t>ia</w:t>
      </w:r>
      <w:r w:rsidRPr="007223FB">
        <w:rPr>
          <w:rFonts w:eastAsia="Candara" w:cs="Candara"/>
          <w:spacing w:val="1"/>
        </w:rPr>
        <w:t>r</w:t>
      </w:r>
      <w:r w:rsidRPr="007223FB">
        <w:rPr>
          <w:rFonts w:eastAsia="Candara" w:cs="Candara"/>
          <w:spacing w:val="-2"/>
        </w:rPr>
        <w:t>i</w:t>
      </w:r>
      <w:r w:rsidRPr="007223FB">
        <w:rPr>
          <w:rFonts w:eastAsia="Candara" w:cs="Candara"/>
          <w:spacing w:val="-3"/>
        </w:rPr>
        <w:t>o</w:t>
      </w:r>
      <w:r w:rsidRPr="007223FB">
        <w:rPr>
          <w:rFonts w:eastAsia="Candara" w:cs="Candara"/>
        </w:rPr>
        <w:t xml:space="preserve">s </w:t>
      </w:r>
      <w:r w:rsidRPr="007223FB">
        <w:rPr>
          <w:rFonts w:eastAsia="Candara" w:cs="Candara"/>
          <w:spacing w:val="-1"/>
        </w:rPr>
        <w:t>(</w:t>
      </w:r>
      <w:r w:rsidRPr="007223FB">
        <w:rPr>
          <w:rFonts w:eastAsia="Candara" w:cs="Candara"/>
          <w:spacing w:val="1"/>
        </w:rPr>
        <w:t>c</w:t>
      </w:r>
      <w:r w:rsidRPr="007223FB">
        <w:rPr>
          <w:rFonts w:eastAsia="Candara" w:cs="Candara"/>
        </w:rPr>
        <w:t>ua</w:t>
      </w:r>
      <w:r w:rsidRPr="007223FB">
        <w:rPr>
          <w:rFonts w:eastAsia="Candara" w:cs="Candara"/>
          <w:spacing w:val="1"/>
        </w:rPr>
        <w:t>nd</w:t>
      </w:r>
      <w:r w:rsidRPr="007223FB">
        <w:rPr>
          <w:rFonts w:eastAsia="Candara" w:cs="Candara"/>
        </w:rPr>
        <w:t xml:space="preserve">o </w:t>
      </w:r>
      <w:r w:rsidRPr="007223FB">
        <w:rPr>
          <w:rFonts w:eastAsia="Candara" w:cs="Candara"/>
          <w:spacing w:val="1"/>
        </w:rPr>
        <w:t>s</w:t>
      </w:r>
      <w:r w:rsidRPr="007223FB">
        <w:rPr>
          <w:rFonts w:eastAsia="Candara" w:cs="Candara"/>
        </w:rPr>
        <w:t>e</w:t>
      </w:r>
      <w:r w:rsidRPr="007223FB">
        <w:rPr>
          <w:rFonts w:eastAsia="Candara" w:cs="Candara"/>
          <w:spacing w:val="3"/>
        </w:rPr>
        <w:t xml:space="preserve"> </w:t>
      </w:r>
      <w:r w:rsidRPr="007223FB">
        <w:rPr>
          <w:rFonts w:eastAsia="Candara" w:cs="Candara"/>
          <w:spacing w:val="1"/>
        </w:rPr>
        <w:t>d</w:t>
      </w:r>
      <w:r w:rsidRPr="007223FB">
        <w:rPr>
          <w:rFonts w:eastAsia="Candara" w:cs="Candara"/>
          <w:spacing w:val="-2"/>
        </w:rPr>
        <w:t>i</w:t>
      </w:r>
      <w:r w:rsidRPr="007223FB">
        <w:rPr>
          <w:rFonts w:eastAsia="Candara" w:cs="Candara"/>
          <w:spacing w:val="1"/>
        </w:rPr>
        <w:t>s</w:t>
      </w:r>
      <w:r w:rsidRPr="007223FB">
        <w:rPr>
          <w:rFonts w:eastAsia="Candara" w:cs="Candara"/>
        </w:rPr>
        <w:t>p</w:t>
      </w:r>
      <w:r w:rsidRPr="007223FB">
        <w:rPr>
          <w:rFonts w:eastAsia="Candara" w:cs="Candara"/>
          <w:spacing w:val="-1"/>
        </w:rPr>
        <w:t>o</w:t>
      </w:r>
      <w:r w:rsidRPr="007223FB">
        <w:rPr>
          <w:rFonts w:eastAsia="Candara" w:cs="Candara"/>
          <w:spacing w:val="-2"/>
        </w:rPr>
        <w:t>n</w:t>
      </w:r>
      <w:r w:rsidRPr="007223FB">
        <w:rPr>
          <w:rFonts w:eastAsia="Candara" w:cs="Candara"/>
          <w:spacing w:val="1"/>
        </w:rPr>
        <w:t>g</w:t>
      </w:r>
      <w:r w:rsidRPr="007223FB">
        <w:rPr>
          <w:rFonts w:eastAsia="Candara" w:cs="Candara"/>
        </w:rPr>
        <w:t>a</w:t>
      </w:r>
      <w:r w:rsidRPr="007223FB">
        <w:rPr>
          <w:rFonts w:eastAsia="Candara" w:cs="Candara"/>
          <w:spacing w:val="3"/>
        </w:rPr>
        <w:t xml:space="preserve">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spacing w:val="-3"/>
        </w:rPr>
        <w:t>e</w:t>
      </w:r>
      <w:r w:rsidRPr="007223FB">
        <w:rPr>
          <w:rFonts w:eastAsia="Candara" w:cs="Candara"/>
          <w:spacing w:val="1"/>
        </w:rPr>
        <w:t>s</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rPr>
        <w:t>at</w:t>
      </w:r>
      <w:r w:rsidRPr="007223FB">
        <w:rPr>
          <w:rFonts w:eastAsia="Candara" w:cs="Candara"/>
          <w:spacing w:val="-1"/>
        </w:rPr>
        <w:t>o</w:t>
      </w:r>
      <w:r w:rsidRPr="007223FB">
        <w:rPr>
          <w:rFonts w:eastAsia="Candara" w:cs="Candara"/>
          <w:spacing w:val="1"/>
        </w:rPr>
        <w:t>s</w:t>
      </w:r>
      <w:r w:rsidRPr="007223FB">
        <w:rPr>
          <w:rFonts w:eastAsia="Candara" w:cs="Candara"/>
          <w:spacing w:val="-1"/>
        </w:rPr>
        <w:t>)</w:t>
      </w:r>
      <w:r w:rsidRPr="007223FB">
        <w:rPr>
          <w:rFonts w:eastAsia="Candara" w:cs="Candara"/>
        </w:rPr>
        <w:t>;</w:t>
      </w:r>
      <w:r w:rsidRPr="007223FB">
        <w:rPr>
          <w:rFonts w:eastAsia="Candara" w:cs="Candara"/>
          <w:spacing w:val="3"/>
        </w:rPr>
        <w:t xml:space="preserve"> </w:t>
      </w:r>
      <w:r w:rsidRPr="007223FB">
        <w:rPr>
          <w:rFonts w:eastAsia="Candara" w:cs="Candara"/>
        </w:rPr>
        <w:t>b)</w:t>
      </w:r>
      <w:r w:rsidRPr="007223FB">
        <w:rPr>
          <w:rFonts w:eastAsia="Candara" w:cs="Candara"/>
          <w:spacing w:val="2"/>
        </w:rPr>
        <w:t xml:space="preserve"> </w:t>
      </w:r>
      <w:r w:rsidRPr="007223FB">
        <w:rPr>
          <w:rFonts w:eastAsia="Candara" w:cs="Candara"/>
          <w:spacing w:val="-1"/>
        </w:rPr>
        <w:t>g</w:t>
      </w:r>
      <w:r w:rsidRPr="007223FB">
        <w:rPr>
          <w:rFonts w:eastAsia="Candara" w:cs="Candara"/>
          <w:spacing w:val="1"/>
        </w:rPr>
        <w:t>r</w:t>
      </w:r>
      <w:r w:rsidRPr="007223FB">
        <w:rPr>
          <w:rFonts w:eastAsia="Candara" w:cs="Candara"/>
        </w:rPr>
        <w:t>up</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spacing w:val="-4"/>
        </w:rPr>
        <w:t>l</w:t>
      </w:r>
      <w:r w:rsidRPr="007223FB">
        <w:rPr>
          <w:rFonts w:eastAsia="Candara" w:cs="Candara"/>
        </w:rPr>
        <w:t>a</w:t>
      </w:r>
      <w:r w:rsidRPr="007223FB">
        <w:rPr>
          <w:rFonts w:eastAsia="Candara" w:cs="Candara"/>
          <w:spacing w:val="3"/>
        </w:rPr>
        <w:t xml:space="preserve"> </w:t>
      </w:r>
      <w:r w:rsidRPr="007223FB">
        <w:rPr>
          <w:rFonts w:eastAsia="Candara" w:cs="Candara"/>
        </w:rPr>
        <w:t>p</w:t>
      </w:r>
      <w:r w:rsidRPr="007223FB">
        <w:rPr>
          <w:rFonts w:eastAsia="Candara" w:cs="Candara"/>
          <w:spacing w:val="-1"/>
        </w:rPr>
        <w:t>o</w:t>
      </w:r>
      <w:r w:rsidRPr="007223FB">
        <w:rPr>
          <w:rFonts w:eastAsia="Candara" w:cs="Candara"/>
        </w:rPr>
        <w:t>bla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4"/>
        </w:rPr>
        <w:t xml:space="preserve"> </w:t>
      </w:r>
      <w:r w:rsidRPr="007223FB">
        <w:rPr>
          <w:rFonts w:eastAsia="Candara" w:cs="Candara"/>
        </w:rPr>
        <w:t>a</w:t>
      </w:r>
      <w:r w:rsidRPr="007223FB">
        <w:rPr>
          <w:rFonts w:eastAsia="Candara" w:cs="Candara"/>
          <w:spacing w:val="3"/>
        </w:rPr>
        <w:t xml:space="preserve"> </w:t>
      </w:r>
      <w:r w:rsidRPr="007223FB">
        <w:rPr>
          <w:rFonts w:eastAsia="Candara" w:cs="Candara"/>
        </w:rPr>
        <w:t>quie</w:t>
      </w:r>
      <w:r w:rsidRPr="007223FB">
        <w:rPr>
          <w:rFonts w:eastAsia="Candara" w:cs="Candara"/>
          <w:spacing w:val="1"/>
        </w:rPr>
        <w:t>n</w:t>
      </w:r>
      <w:r w:rsidRPr="007223FB">
        <w:rPr>
          <w:rFonts w:eastAsia="Candara" w:cs="Candara"/>
          <w:spacing w:val="-3"/>
        </w:rPr>
        <w:t>e</w:t>
      </w:r>
      <w:r w:rsidRPr="007223FB">
        <w:rPr>
          <w:rFonts w:eastAsia="Candara" w:cs="Candara"/>
        </w:rPr>
        <w:t>s</w:t>
      </w:r>
      <w:r w:rsidRPr="007223FB">
        <w:rPr>
          <w:rFonts w:eastAsia="Candara" w:cs="Candara"/>
          <w:spacing w:val="2"/>
        </w:rPr>
        <w:t xml:space="preserve"> </w:t>
      </w:r>
      <w:r w:rsidRPr="007223FB">
        <w:rPr>
          <w:rFonts w:eastAsia="Candara" w:cs="Candara"/>
          <w:spacing w:val="1"/>
        </w:rPr>
        <w:t>s</w:t>
      </w:r>
      <w:r w:rsidRPr="007223FB">
        <w:rPr>
          <w:rFonts w:eastAsia="Candara" w:cs="Candara"/>
        </w:rPr>
        <w:t>e</w:t>
      </w:r>
      <w:r w:rsidRPr="007223FB">
        <w:rPr>
          <w:rFonts w:eastAsia="Candara" w:cs="Candara"/>
          <w:spacing w:val="1"/>
        </w:rPr>
        <w:t xml:space="preserve"> d</w:t>
      </w:r>
      <w:r w:rsidRPr="007223FB">
        <w:rPr>
          <w:rFonts w:eastAsia="Candara" w:cs="Candara"/>
        </w:rPr>
        <w:t>i</w:t>
      </w:r>
      <w:r w:rsidRPr="007223FB">
        <w:rPr>
          <w:rFonts w:eastAsia="Candara" w:cs="Candara"/>
          <w:spacing w:val="1"/>
        </w:rPr>
        <w:t>r</w:t>
      </w:r>
      <w:r w:rsidRPr="007223FB">
        <w:rPr>
          <w:rFonts w:eastAsia="Candara" w:cs="Candara"/>
          <w:spacing w:val="-2"/>
        </w:rPr>
        <w:t>i</w:t>
      </w:r>
      <w:r w:rsidRPr="007223FB">
        <w:rPr>
          <w:rFonts w:eastAsia="Candara" w:cs="Candara"/>
          <w:spacing w:val="1"/>
        </w:rPr>
        <w:t>g</w:t>
      </w:r>
      <w:r w:rsidRPr="007223FB">
        <w:rPr>
          <w:rFonts w:eastAsia="Candara" w:cs="Candara"/>
        </w:rPr>
        <w:t>en</w:t>
      </w:r>
      <w:r w:rsidRPr="007223FB">
        <w:rPr>
          <w:rFonts w:eastAsia="Candara" w:cs="Candara"/>
          <w:spacing w:val="4"/>
        </w:rPr>
        <w:t xml:space="preserve"> </w:t>
      </w:r>
      <w:r w:rsidRPr="007223FB">
        <w:rPr>
          <w:rFonts w:eastAsia="Candara" w:cs="Candara"/>
        </w:rPr>
        <w:t>l</w:t>
      </w:r>
      <w:r w:rsidRPr="007223FB">
        <w:rPr>
          <w:rFonts w:eastAsia="Candara" w:cs="Candara"/>
          <w:spacing w:val="-2"/>
        </w:rPr>
        <w:t>a</w:t>
      </w:r>
      <w:r w:rsidRPr="007223FB">
        <w:rPr>
          <w:rFonts w:eastAsia="Candara" w:cs="Candara"/>
        </w:rPr>
        <w:t>s i</w:t>
      </w:r>
      <w:r w:rsidRPr="007223FB">
        <w:rPr>
          <w:rFonts w:eastAsia="Candara" w:cs="Candara"/>
          <w:spacing w:val="1"/>
        </w:rPr>
        <w:t>n</w:t>
      </w:r>
      <w:r w:rsidRPr="007223FB">
        <w:rPr>
          <w:rFonts w:eastAsia="Candara" w:cs="Candara"/>
        </w:rPr>
        <w:t>te</w:t>
      </w:r>
      <w:r w:rsidRPr="007223FB">
        <w:rPr>
          <w:rFonts w:eastAsia="Candara" w:cs="Candara"/>
          <w:spacing w:val="1"/>
        </w:rPr>
        <w:t>r</w:t>
      </w:r>
      <w:r w:rsidRPr="007223FB">
        <w:rPr>
          <w:rFonts w:eastAsia="Candara" w:cs="Candara"/>
        </w:rPr>
        <w:t>ve</w:t>
      </w:r>
      <w:r w:rsidRPr="007223FB">
        <w:rPr>
          <w:rFonts w:eastAsia="Candara" w:cs="Candara"/>
          <w:spacing w:val="-2"/>
        </w:rPr>
        <w:t>n</w:t>
      </w:r>
      <w:r w:rsidRPr="007223FB">
        <w:rPr>
          <w:rFonts w:eastAsia="Candara" w:cs="Candara"/>
          <w:spacing w:val="1"/>
        </w:rPr>
        <w:t>c</w:t>
      </w:r>
      <w:r w:rsidRPr="007223FB">
        <w:rPr>
          <w:rFonts w:eastAsia="Candara" w:cs="Candara"/>
        </w:rPr>
        <w:t>i</w:t>
      </w:r>
      <w:r w:rsidRPr="007223FB">
        <w:rPr>
          <w:rFonts w:eastAsia="Candara" w:cs="Candara"/>
          <w:spacing w:val="-1"/>
        </w:rPr>
        <w:t>o</w:t>
      </w:r>
      <w:r w:rsidRPr="007223FB">
        <w:rPr>
          <w:rFonts w:eastAsia="Candara" w:cs="Candara"/>
          <w:spacing w:val="1"/>
        </w:rPr>
        <w:t>n</w:t>
      </w:r>
      <w:r w:rsidRPr="007223FB">
        <w:rPr>
          <w:rFonts w:eastAsia="Candara" w:cs="Candara"/>
          <w:spacing w:val="-3"/>
        </w:rPr>
        <w:t>e</w:t>
      </w:r>
      <w:r w:rsidRPr="007223FB">
        <w:rPr>
          <w:rFonts w:eastAsia="Candara" w:cs="Candara"/>
          <w:spacing w:val="1"/>
        </w:rPr>
        <w:t>s</w:t>
      </w:r>
      <w:r w:rsidRPr="007223FB">
        <w:rPr>
          <w:rFonts w:eastAsia="Candara" w:cs="Candara"/>
        </w:rPr>
        <w:t xml:space="preserve">, </w:t>
      </w:r>
      <w:r w:rsidRPr="007223FB">
        <w:rPr>
          <w:rFonts w:eastAsia="Candara" w:cs="Candara"/>
          <w:spacing w:val="1"/>
        </w:rPr>
        <w:t>c</w:t>
      </w:r>
      <w:r w:rsidRPr="007223FB">
        <w:rPr>
          <w:rFonts w:eastAsia="Candara" w:cs="Candara"/>
        </w:rPr>
        <w:t>)</w:t>
      </w:r>
      <w:r w:rsidRPr="007223FB">
        <w:rPr>
          <w:rFonts w:eastAsia="Candara" w:cs="Candara"/>
          <w:spacing w:val="-1"/>
        </w:rPr>
        <w:t xml:space="preserve"> </w:t>
      </w:r>
      <w:r w:rsidRPr="007223FB">
        <w:rPr>
          <w:rFonts w:eastAsia="Candara" w:cs="Candara"/>
        </w:rPr>
        <w:t>ub</w:t>
      </w:r>
      <w:r w:rsidRPr="007223FB">
        <w:rPr>
          <w:rFonts w:eastAsia="Candara" w:cs="Candara"/>
          <w:spacing w:val="-2"/>
        </w:rPr>
        <w:t>i</w:t>
      </w:r>
      <w:r w:rsidRPr="007223FB">
        <w:rPr>
          <w:rFonts w:eastAsia="Candara" w:cs="Candara"/>
          <w:spacing w:val="1"/>
        </w:rPr>
        <w:t>c</w:t>
      </w:r>
      <w:r w:rsidRPr="007223FB">
        <w:rPr>
          <w:rFonts w:eastAsia="Candara" w:cs="Candara"/>
        </w:rPr>
        <w:t>a</w:t>
      </w:r>
      <w:r w:rsidRPr="007223FB">
        <w:rPr>
          <w:rFonts w:eastAsia="Candara" w:cs="Candara"/>
          <w:spacing w:val="1"/>
        </w:rPr>
        <w:t>c</w:t>
      </w:r>
      <w:r w:rsidRPr="007223FB">
        <w:rPr>
          <w:rFonts w:eastAsia="Candara" w:cs="Candara"/>
          <w:spacing w:val="-2"/>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g</w:t>
      </w:r>
      <w:r w:rsidRPr="007223FB">
        <w:rPr>
          <w:rFonts w:eastAsia="Candara" w:cs="Candara"/>
        </w:rPr>
        <w:t>e</w:t>
      </w:r>
      <w:r w:rsidRPr="007223FB">
        <w:rPr>
          <w:rFonts w:eastAsia="Candara" w:cs="Candara"/>
          <w:spacing w:val="-1"/>
        </w:rPr>
        <w:t>og</w:t>
      </w:r>
      <w:r w:rsidRPr="007223FB">
        <w:rPr>
          <w:rFonts w:eastAsia="Candara" w:cs="Candara"/>
          <w:spacing w:val="1"/>
        </w:rPr>
        <w:t>r</w:t>
      </w:r>
      <w:r w:rsidRPr="007223FB">
        <w:rPr>
          <w:rFonts w:eastAsia="Candara" w:cs="Candara"/>
        </w:rPr>
        <w:t>áfi</w:t>
      </w:r>
      <w:r w:rsidRPr="007223FB">
        <w:rPr>
          <w:rFonts w:eastAsia="Candara" w:cs="Candara"/>
          <w:spacing w:val="1"/>
        </w:rPr>
        <w:t>c</w:t>
      </w:r>
      <w:r w:rsidRPr="007223FB">
        <w:rPr>
          <w:rFonts w:eastAsia="Candara" w:cs="Candara"/>
        </w:rPr>
        <w:t>a</w:t>
      </w:r>
      <w:r w:rsidRPr="007223FB">
        <w:rPr>
          <w:rFonts w:eastAsia="Candara" w:cs="Candara"/>
          <w:spacing w:val="-2"/>
        </w:rPr>
        <w:t xml:space="preserve"> </w:t>
      </w:r>
      <w:r w:rsidRPr="007223FB">
        <w:rPr>
          <w:rFonts w:eastAsia="Candara" w:cs="Candara"/>
        </w:rPr>
        <w:t>y</w:t>
      </w:r>
      <w:r w:rsidRPr="007223FB">
        <w:rPr>
          <w:rFonts w:eastAsia="Candara" w:cs="Candara"/>
          <w:spacing w:val="1"/>
        </w:rPr>
        <w:t xml:space="preserve"> d</w:t>
      </w:r>
      <w:r w:rsidRPr="007223FB">
        <w:rPr>
          <w:rFonts w:eastAsia="Candara" w:cs="Candara"/>
        </w:rPr>
        <w:t>)</w:t>
      </w:r>
      <w:r w:rsidRPr="007223FB">
        <w:rPr>
          <w:rFonts w:eastAsia="Candara" w:cs="Candara"/>
          <w:spacing w:val="-1"/>
        </w:rPr>
        <w:t xml:space="preserve"> </w:t>
      </w:r>
      <w:r w:rsidRPr="007223FB">
        <w:rPr>
          <w:rFonts w:eastAsia="Candara" w:cs="Candara"/>
          <w:spacing w:val="-2"/>
        </w:rPr>
        <w:t>i</w:t>
      </w:r>
      <w:r w:rsidRPr="007223FB">
        <w:rPr>
          <w:rFonts w:eastAsia="Candara" w:cs="Candara"/>
          <w:spacing w:val="1"/>
        </w:rPr>
        <w:t>n</w:t>
      </w:r>
      <w:r w:rsidRPr="007223FB">
        <w:rPr>
          <w:rFonts w:eastAsia="Candara" w:cs="Candara"/>
        </w:rPr>
        <w:t>ve</w:t>
      </w:r>
      <w:r w:rsidRPr="007223FB">
        <w:rPr>
          <w:rFonts w:eastAsia="Candara" w:cs="Candara"/>
          <w:spacing w:val="-1"/>
        </w:rPr>
        <w:t>r</w:t>
      </w:r>
      <w:r w:rsidRPr="007223FB">
        <w:rPr>
          <w:rFonts w:eastAsia="Candara" w:cs="Candara"/>
          <w:spacing w:val="1"/>
        </w:rPr>
        <w:t>s</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1"/>
        </w:rPr>
        <w:t xml:space="preserve"> </w:t>
      </w:r>
      <w:r w:rsidRPr="007223FB">
        <w:rPr>
          <w:rFonts w:eastAsia="Candara" w:cs="Candara"/>
        </w:rPr>
        <w:t>á</w:t>
      </w:r>
      <w:r w:rsidRPr="007223FB">
        <w:rPr>
          <w:rFonts w:eastAsia="Candara" w:cs="Candara"/>
          <w:spacing w:val="1"/>
        </w:rPr>
        <w:t>r</w:t>
      </w:r>
      <w:r w:rsidRPr="007223FB">
        <w:rPr>
          <w:rFonts w:eastAsia="Candara" w:cs="Candara"/>
        </w:rPr>
        <w:t>ea.</w:t>
      </w:r>
    </w:p>
    <w:p w:rsidR="00731E55" w:rsidRDefault="00F73BA8" w:rsidP="006C13F5">
      <w:pPr>
        <w:spacing w:before="120" w:after="120" w:line="240" w:lineRule="auto"/>
        <w:ind w:right="57"/>
        <w:rPr>
          <w:rFonts w:eastAsia="Candara" w:cs="Candara"/>
        </w:rPr>
      </w:pPr>
      <w:r w:rsidRPr="007223FB">
        <w:rPr>
          <w:rFonts w:eastAsia="Candara" w:cs="Candara"/>
          <w:spacing w:val="1"/>
        </w:rPr>
        <w:t>Es</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rPr>
        <w:t>elem</w:t>
      </w:r>
      <w:r w:rsidRPr="007223FB">
        <w:rPr>
          <w:rFonts w:eastAsia="Candara" w:cs="Candara"/>
          <w:spacing w:val="-3"/>
        </w:rPr>
        <w:t>e</w:t>
      </w:r>
      <w:r w:rsidRPr="007223FB">
        <w:rPr>
          <w:rFonts w:eastAsia="Candara" w:cs="Candara"/>
          <w:spacing w:val="1"/>
        </w:rPr>
        <w:t>n</w:t>
      </w:r>
      <w:r w:rsidRPr="007223FB">
        <w:rPr>
          <w:rFonts w:eastAsia="Candara" w:cs="Candara"/>
        </w:rPr>
        <w:t>t</w:t>
      </w:r>
      <w:r w:rsidRPr="007223FB">
        <w:rPr>
          <w:rFonts w:eastAsia="Candara" w:cs="Candara"/>
          <w:spacing w:val="-1"/>
        </w:rPr>
        <w:t>o</w:t>
      </w:r>
      <w:r w:rsidRPr="007223FB">
        <w:rPr>
          <w:rFonts w:eastAsia="Candara" w:cs="Candara"/>
        </w:rPr>
        <w:t>s</w:t>
      </w:r>
      <w:r w:rsidRPr="007223FB">
        <w:rPr>
          <w:rFonts w:eastAsia="Candara" w:cs="Candara"/>
          <w:spacing w:val="-3"/>
        </w:rPr>
        <w:t xml:space="preserve"> </w:t>
      </w:r>
      <w:r w:rsidRPr="007223FB">
        <w:rPr>
          <w:rFonts w:eastAsia="Candara" w:cs="Candara"/>
          <w:spacing w:val="1"/>
        </w:rPr>
        <w:t>s</w:t>
      </w:r>
      <w:r w:rsidRPr="007223FB">
        <w:rPr>
          <w:rFonts w:eastAsia="Candara" w:cs="Candara"/>
        </w:rPr>
        <w:t>e</w:t>
      </w:r>
      <w:r w:rsidRPr="007223FB">
        <w:rPr>
          <w:rFonts w:eastAsia="Candara" w:cs="Candara"/>
          <w:spacing w:val="-2"/>
        </w:rPr>
        <w:t xml:space="preserve"> </w:t>
      </w:r>
      <w:r w:rsidRPr="007223FB">
        <w:rPr>
          <w:rFonts w:eastAsia="Candara" w:cs="Candara"/>
        </w:rPr>
        <w:t>a</w:t>
      </w:r>
      <w:r w:rsidRPr="007223FB">
        <w:rPr>
          <w:rFonts w:eastAsia="Candara" w:cs="Candara"/>
          <w:spacing w:val="1"/>
        </w:rPr>
        <w:t>n</w:t>
      </w:r>
      <w:r w:rsidRPr="007223FB">
        <w:rPr>
          <w:rFonts w:eastAsia="Candara" w:cs="Candara"/>
        </w:rPr>
        <w:t>ali</w:t>
      </w:r>
      <w:r w:rsidRPr="007223FB">
        <w:rPr>
          <w:rFonts w:eastAsia="Candara" w:cs="Candara"/>
          <w:spacing w:val="-2"/>
        </w:rPr>
        <w:t>z</w:t>
      </w:r>
      <w:r w:rsidRPr="007223FB">
        <w:rPr>
          <w:rFonts w:eastAsia="Candara" w:cs="Candara"/>
        </w:rPr>
        <w:t>an</w:t>
      </w:r>
      <w:r w:rsidRPr="007223FB">
        <w:rPr>
          <w:rFonts w:eastAsia="Candara" w:cs="Candara"/>
          <w:spacing w:val="-1"/>
        </w:rPr>
        <w:t xml:space="preserve"> </w:t>
      </w:r>
      <w:r w:rsidRPr="007223FB">
        <w:rPr>
          <w:rFonts w:eastAsia="Candara" w:cs="Candara"/>
        </w:rPr>
        <w:t>pa</w:t>
      </w:r>
      <w:r w:rsidRPr="007223FB">
        <w:rPr>
          <w:rFonts w:eastAsia="Candara" w:cs="Candara"/>
          <w:spacing w:val="1"/>
        </w:rPr>
        <w:t>r</w:t>
      </w:r>
      <w:r w:rsidRPr="007223FB">
        <w:rPr>
          <w:rFonts w:eastAsia="Candara" w:cs="Candara"/>
        </w:rPr>
        <w:t>a</w:t>
      </w:r>
      <w:r w:rsidRPr="007223FB">
        <w:rPr>
          <w:rFonts w:eastAsia="Candara" w:cs="Candara"/>
          <w:spacing w:val="-5"/>
        </w:rPr>
        <w:t xml:space="preserve"> </w:t>
      </w:r>
      <w:r w:rsidRPr="007223FB">
        <w:rPr>
          <w:rFonts w:eastAsia="Candara" w:cs="Candara"/>
          <w:spacing w:val="1"/>
        </w:rPr>
        <w:t>c</w:t>
      </w:r>
      <w:r w:rsidRPr="007223FB">
        <w:rPr>
          <w:rFonts w:eastAsia="Candara" w:cs="Candara"/>
        </w:rPr>
        <w:t>a</w:t>
      </w:r>
      <w:r w:rsidRPr="007223FB">
        <w:rPr>
          <w:rFonts w:eastAsia="Candara" w:cs="Candara"/>
          <w:spacing w:val="1"/>
        </w:rPr>
        <w:t>d</w:t>
      </w:r>
      <w:r w:rsidRPr="007223FB">
        <w:rPr>
          <w:rFonts w:eastAsia="Candara" w:cs="Candara"/>
        </w:rPr>
        <w:t>a</w:t>
      </w:r>
      <w:r w:rsidRPr="007223FB">
        <w:rPr>
          <w:rFonts w:eastAsia="Candara" w:cs="Candara"/>
          <w:spacing w:val="-2"/>
        </w:rPr>
        <w:t xml:space="preserve"> </w:t>
      </w:r>
      <w:r w:rsidRPr="007223FB">
        <w:rPr>
          <w:rFonts w:eastAsia="Candara" w:cs="Candara"/>
        </w:rPr>
        <w:t>e</w:t>
      </w:r>
      <w:r w:rsidRPr="007223FB">
        <w:rPr>
          <w:rFonts w:eastAsia="Candara" w:cs="Candara"/>
          <w:spacing w:val="-2"/>
        </w:rPr>
        <w:t>n</w:t>
      </w:r>
      <w:r w:rsidRPr="007223FB">
        <w:rPr>
          <w:rFonts w:eastAsia="Candara" w:cs="Candara"/>
        </w:rPr>
        <w:t>ti</w:t>
      </w:r>
      <w:r w:rsidRPr="007223FB">
        <w:rPr>
          <w:rFonts w:eastAsia="Candara" w:cs="Candara"/>
          <w:spacing w:val="1"/>
        </w:rPr>
        <w:t>d</w:t>
      </w:r>
      <w:r w:rsidRPr="007223FB">
        <w:rPr>
          <w:rFonts w:eastAsia="Candara" w:cs="Candara"/>
          <w:spacing w:val="-2"/>
        </w:rPr>
        <w:t>a</w:t>
      </w:r>
      <w:r w:rsidRPr="007223FB">
        <w:rPr>
          <w:rFonts w:eastAsia="Candara" w:cs="Candara"/>
        </w:rPr>
        <w:t>d</w:t>
      </w:r>
      <w:r w:rsidRPr="007223FB">
        <w:rPr>
          <w:rFonts w:eastAsia="Candara" w:cs="Candara"/>
          <w:spacing w:val="-1"/>
        </w:rPr>
        <w:t xml:space="preserve"> </w:t>
      </w:r>
      <w:r w:rsidRPr="007223FB">
        <w:rPr>
          <w:rFonts w:eastAsia="Candara" w:cs="Candara"/>
        </w:rPr>
        <w:t>públ</w:t>
      </w:r>
      <w:r w:rsidRPr="007223FB">
        <w:rPr>
          <w:rFonts w:eastAsia="Candara" w:cs="Candara"/>
          <w:spacing w:val="-2"/>
        </w:rPr>
        <w:t>i</w:t>
      </w:r>
      <w:r w:rsidRPr="007223FB">
        <w:rPr>
          <w:rFonts w:eastAsia="Candara" w:cs="Candara"/>
          <w:spacing w:val="1"/>
        </w:rPr>
        <w:t>c</w:t>
      </w:r>
      <w:r w:rsidRPr="007223FB">
        <w:rPr>
          <w:rFonts w:eastAsia="Candara" w:cs="Candara"/>
        </w:rPr>
        <w:t>a</w:t>
      </w:r>
      <w:r w:rsidRPr="007223FB">
        <w:rPr>
          <w:rFonts w:eastAsia="Candara" w:cs="Candara"/>
          <w:spacing w:val="-4"/>
        </w:rPr>
        <w:t xml:space="preserve"> </w:t>
      </w:r>
      <w:r w:rsidRPr="007223FB">
        <w:rPr>
          <w:rFonts w:eastAsia="Candara" w:cs="Candara"/>
        </w:rPr>
        <w:t>en</w:t>
      </w:r>
      <w:r w:rsidRPr="007223FB">
        <w:rPr>
          <w:rFonts w:eastAsia="Candara" w:cs="Candara"/>
          <w:spacing w:val="-1"/>
        </w:rPr>
        <w:t xml:space="preserve"> </w:t>
      </w:r>
      <w:r w:rsidRPr="007223FB">
        <w:rPr>
          <w:rFonts w:eastAsia="Candara" w:cs="Candara"/>
        </w:rPr>
        <w:t>fu</w:t>
      </w:r>
      <w:r w:rsidRPr="007223FB">
        <w:rPr>
          <w:rFonts w:eastAsia="Candara" w:cs="Candara"/>
          <w:spacing w:val="-2"/>
        </w:rPr>
        <w:t>n</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spacing w:val="1"/>
        </w:rPr>
        <w:t>d</w:t>
      </w:r>
      <w:r w:rsidRPr="007223FB">
        <w:rPr>
          <w:rFonts w:eastAsia="Candara" w:cs="Candara"/>
        </w:rPr>
        <w:t>el</w:t>
      </w:r>
      <w:r w:rsidRPr="007223FB">
        <w:rPr>
          <w:rFonts w:eastAsia="Candara" w:cs="Candara"/>
          <w:spacing w:val="-2"/>
        </w:rPr>
        <w:t xml:space="preserve"> </w:t>
      </w:r>
      <w:r w:rsidRPr="007223FB">
        <w:rPr>
          <w:rFonts w:eastAsia="Candara" w:cs="Candara"/>
        </w:rPr>
        <w:t>av</w:t>
      </w:r>
      <w:r w:rsidRPr="007223FB">
        <w:rPr>
          <w:rFonts w:eastAsia="Candara" w:cs="Candara"/>
          <w:spacing w:val="-2"/>
        </w:rPr>
        <w:t>a</w:t>
      </w:r>
      <w:r w:rsidRPr="007223FB">
        <w:rPr>
          <w:rFonts w:eastAsia="Candara" w:cs="Candara"/>
          <w:spacing w:val="1"/>
        </w:rPr>
        <w:t>nc</w:t>
      </w:r>
      <w:r w:rsidRPr="007223FB">
        <w:rPr>
          <w:rFonts w:eastAsia="Candara" w:cs="Candara"/>
        </w:rPr>
        <w:t>e</w:t>
      </w:r>
      <w:r w:rsidRPr="007223FB">
        <w:rPr>
          <w:rFonts w:eastAsia="Candara" w:cs="Candara"/>
          <w:spacing w:val="-2"/>
        </w:rPr>
        <w:t xml:space="preserve"> </w:t>
      </w:r>
      <w:r w:rsidRPr="007223FB">
        <w:rPr>
          <w:rFonts w:eastAsia="Candara" w:cs="Candara"/>
          <w:spacing w:val="-3"/>
        </w:rPr>
        <w:t>e</w:t>
      </w:r>
      <w:r w:rsidRPr="007223FB">
        <w:rPr>
          <w:rFonts w:eastAsia="Candara" w:cs="Candara"/>
        </w:rPr>
        <w:t>n</w:t>
      </w:r>
      <w:r w:rsidRPr="007223FB">
        <w:rPr>
          <w:rFonts w:eastAsia="Candara" w:cs="Candara"/>
          <w:spacing w:val="-1"/>
        </w:rPr>
        <w:t xml:space="preserve"> </w:t>
      </w:r>
      <w:r w:rsidRPr="007223FB">
        <w:rPr>
          <w:rFonts w:eastAsia="Candara" w:cs="Candara"/>
        </w:rPr>
        <w:t>la</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4"/>
        </w:rPr>
        <w:t xml:space="preserve"> </w:t>
      </w:r>
      <w:r w:rsidRPr="007223FB">
        <w:rPr>
          <w:rFonts w:eastAsia="Candara" w:cs="Candara"/>
          <w:spacing w:val="-1"/>
        </w:rPr>
        <w:t>d</w:t>
      </w:r>
      <w:r w:rsidRPr="007223FB">
        <w:rPr>
          <w:rFonts w:eastAsia="Candara" w:cs="Candara"/>
        </w:rPr>
        <w:t>e l</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s</w:t>
      </w:r>
      <w:r w:rsidRPr="007223FB">
        <w:rPr>
          <w:rFonts w:eastAsia="Candara" w:cs="Candara"/>
          <w:spacing w:val="-3"/>
        </w:rPr>
        <w:t>e</w:t>
      </w:r>
      <w:r w:rsidRPr="007223FB">
        <w:rPr>
          <w:rFonts w:eastAsia="Candara" w:cs="Candara"/>
          <w:spacing w:val="1"/>
        </w:rPr>
        <w:t>r</w:t>
      </w:r>
      <w:r w:rsidRPr="007223FB">
        <w:rPr>
          <w:rFonts w:eastAsia="Candara" w:cs="Candara"/>
        </w:rPr>
        <w:t>vi</w:t>
      </w:r>
      <w:r w:rsidRPr="007223FB">
        <w:rPr>
          <w:rFonts w:eastAsia="Candara" w:cs="Candara"/>
          <w:spacing w:val="1"/>
        </w:rPr>
        <w:t>c</w:t>
      </w:r>
      <w:r w:rsidRPr="007223FB">
        <w:rPr>
          <w:rFonts w:eastAsia="Candara" w:cs="Candara"/>
        </w:rPr>
        <w:t>i</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públi</w:t>
      </w:r>
      <w:r w:rsidRPr="007223FB">
        <w:rPr>
          <w:rFonts w:eastAsia="Candara" w:cs="Candara"/>
          <w:spacing w:val="1"/>
        </w:rPr>
        <w:t>c</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el</w:t>
      </w:r>
      <w:r w:rsidRPr="007223FB">
        <w:rPr>
          <w:rFonts w:eastAsia="Candara" w:cs="Candara"/>
          <w:spacing w:val="-2"/>
        </w:rPr>
        <w:t xml:space="preserve"> </w:t>
      </w:r>
      <w:r w:rsidRPr="007223FB">
        <w:rPr>
          <w:rFonts w:eastAsia="Candara" w:cs="Candara"/>
        </w:rPr>
        <w:t>u</w:t>
      </w:r>
      <w:r w:rsidRPr="007223FB">
        <w:rPr>
          <w:rFonts w:eastAsia="Candara" w:cs="Candara"/>
          <w:spacing w:val="1"/>
        </w:rPr>
        <w:t>s</w:t>
      </w:r>
      <w:r w:rsidRPr="007223FB">
        <w:rPr>
          <w:rFonts w:eastAsia="Candara" w:cs="Candara"/>
        </w:rPr>
        <w:t xml:space="preserve">o </w:t>
      </w:r>
      <w:r w:rsidRPr="007223FB">
        <w:rPr>
          <w:rFonts w:eastAsia="Candara" w:cs="Candara"/>
          <w:spacing w:val="1"/>
        </w:rPr>
        <w:t>d</w:t>
      </w:r>
      <w:r w:rsidRPr="007223FB">
        <w:rPr>
          <w:rFonts w:eastAsia="Candara" w:cs="Candara"/>
        </w:rPr>
        <w:t>e l</w:t>
      </w:r>
      <w:r w:rsidRPr="007223FB">
        <w:rPr>
          <w:rFonts w:eastAsia="Candara" w:cs="Candara"/>
          <w:spacing w:val="-1"/>
        </w:rPr>
        <w:t>o</w:t>
      </w:r>
      <w:r w:rsidRPr="007223FB">
        <w:rPr>
          <w:rFonts w:eastAsia="Candara" w:cs="Candara"/>
        </w:rPr>
        <w:t>s</w:t>
      </w:r>
      <w:r w:rsidRPr="007223FB">
        <w:rPr>
          <w:rFonts w:eastAsia="Candara" w:cs="Candara"/>
          <w:spacing w:val="-1"/>
        </w:rPr>
        <w:t xml:space="preserve"> </w:t>
      </w:r>
      <w:r w:rsidRPr="007223FB">
        <w:rPr>
          <w:rFonts w:eastAsia="Candara" w:cs="Candara"/>
          <w:spacing w:val="1"/>
        </w:rPr>
        <w:t>r</w:t>
      </w:r>
      <w:r w:rsidRPr="007223FB">
        <w:rPr>
          <w:rFonts w:eastAsia="Candara" w:cs="Candara"/>
          <w:spacing w:val="-3"/>
        </w:rPr>
        <w:t>e</w:t>
      </w:r>
      <w:r w:rsidRPr="007223FB">
        <w:rPr>
          <w:rFonts w:eastAsia="Candara" w:cs="Candara"/>
          <w:spacing w:val="1"/>
        </w:rPr>
        <w:t>c</w:t>
      </w:r>
      <w:r w:rsidRPr="007223FB">
        <w:rPr>
          <w:rFonts w:eastAsia="Candara" w:cs="Candara"/>
        </w:rPr>
        <w:t>u</w:t>
      </w:r>
      <w:r w:rsidRPr="007223FB">
        <w:rPr>
          <w:rFonts w:eastAsia="Candara" w:cs="Candara"/>
          <w:spacing w:val="-1"/>
        </w:rPr>
        <w:t>r</w:t>
      </w:r>
      <w:r w:rsidRPr="007223FB">
        <w:rPr>
          <w:rFonts w:eastAsia="Candara" w:cs="Candara"/>
          <w:spacing w:val="1"/>
        </w:rPr>
        <w:t>s</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spacing w:val="-2"/>
        </w:rPr>
        <w:t>a</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spacing w:val="1"/>
        </w:rPr>
        <w:t>n</w:t>
      </w:r>
      <w:r w:rsidRPr="007223FB">
        <w:rPr>
          <w:rFonts w:eastAsia="Candara" w:cs="Candara"/>
          <w:spacing w:val="-2"/>
        </w:rPr>
        <w:t>a</w:t>
      </w:r>
      <w:r w:rsidRPr="007223FB">
        <w:rPr>
          <w:rFonts w:eastAsia="Candara" w:cs="Candara"/>
        </w:rPr>
        <w:t>d</w:t>
      </w:r>
      <w:r w:rsidRPr="007223FB">
        <w:rPr>
          <w:rFonts w:eastAsia="Candara" w:cs="Candara"/>
          <w:spacing w:val="-1"/>
        </w:rPr>
        <w:t>o</w:t>
      </w:r>
      <w:r w:rsidRPr="007223FB">
        <w:rPr>
          <w:rFonts w:eastAsia="Candara" w:cs="Candara"/>
          <w:spacing w:val="1"/>
        </w:rPr>
        <w:t>s</w:t>
      </w:r>
      <w:r w:rsidRPr="007223FB">
        <w:rPr>
          <w:rFonts w:eastAsia="Candara" w:cs="Candara"/>
        </w:rPr>
        <w:t>.</w:t>
      </w:r>
    </w:p>
    <w:p w:rsidR="00731E55" w:rsidRDefault="00731E55">
      <w:pPr>
        <w:jc w:val="left"/>
        <w:rPr>
          <w:rFonts w:eastAsia="Candara" w:cs="Candara"/>
        </w:rPr>
      </w:pPr>
      <w:r>
        <w:rPr>
          <w:rFonts w:eastAsia="Candara" w:cs="Candara"/>
        </w:rPr>
        <w:br w:type="page"/>
      </w:r>
    </w:p>
    <w:p w:rsidR="003C3640" w:rsidRPr="00E73EEB" w:rsidRDefault="0089550E" w:rsidP="00E73EEB">
      <w:pPr>
        <w:pStyle w:val="Ttulo1"/>
        <w:shd w:val="clear" w:color="auto" w:fill="BDD6EE" w:themeFill="accent1" w:themeFillTint="66"/>
        <w:rPr>
          <w:rFonts w:eastAsia="Times New Roman"/>
          <w:i w:val="0"/>
          <w:lang w:val="es-ES" w:eastAsia="es-ES"/>
        </w:rPr>
      </w:pPr>
      <w:bookmarkStart w:id="2" w:name="_Toc19527416"/>
      <w:r w:rsidRPr="00E73EEB">
        <w:rPr>
          <w:rFonts w:eastAsia="Times New Roman"/>
          <w:i w:val="0"/>
          <w:lang w:val="es-ES" w:eastAsia="es-ES"/>
        </w:rPr>
        <w:lastRenderedPageBreak/>
        <w:t xml:space="preserve">Política General de Gobierno, </w:t>
      </w:r>
      <w:r w:rsidR="00E12C1E" w:rsidRPr="00E73EEB">
        <w:rPr>
          <w:rFonts w:eastAsia="Times New Roman"/>
          <w:i w:val="0"/>
          <w:lang w:val="es-ES" w:eastAsia="es-ES"/>
        </w:rPr>
        <w:t>Avance de Ejes</w:t>
      </w:r>
      <w:r w:rsidR="003C3640" w:rsidRPr="00E73EEB">
        <w:rPr>
          <w:rFonts w:eastAsia="Times New Roman"/>
          <w:i w:val="0"/>
          <w:lang w:val="es-ES" w:eastAsia="es-ES"/>
        </w:rPr>
        <w:t xml:space="preserve"> y Resultados Estratégicos de </w:t>
      </w:r>
      <w:r w:rsidRPr="00E73EEB">
        <w:rPr>
          <w:rFonts w:eastAsia="Times New Roman"/>
          <w:i w:val="0"/>
          <w:lang w:val="es-ES" w:eastAsia="es-ES"/>
        </w:rPr>
        <w:t>País</w:t>
      </w:r>
      <w:bookmarkStart w:id="3" w:name="_Toc17812356"/>
      <w:bookmarkStart w:id="4" w:name="_Toc17877653"/>
      <w:bookmarkStart w:id="5" w:name="_Toc17878248"/>
      <w:bookmarkStart w:id="6" w:name="_Toc17878395"/>
      <w:bookmarkStart w:id="7" w:name="_Toc17878446"/>
      <w:bookmarkStart w:id="8" w:name="_Toc17882673"/>
      <w:bookmarkStart w:id="9" w:name="_Toc17812357"/>
      <w:bookmarkStart w:id="10" w:name="_Toc17877654"/>
      <w:bookmarkStart w:id="11" w:name="_Toc17878249"/>
      <w:bookmarkStart w:id="12" w:name="_Toc17878396"/>
      <w:bookmarkStart w:id="13" w:name="_Toc17878447"/>
      <w:bookmarkStart w:id="14" w:name="_Toc17882674"/>
      <w:bookmarkEnd w:id="2"/>
      <w:bookmarkEnd w:id="3"/>
      <w:bookmarkEnd w:id="4"/>
      <w:bookmarkEnd w:id="5"/>
      <w:bookmarkEnd w:id="6"/>
      <w:bookmarkEnd w:id="7"/>
      <w:bookmarkEnd w:id="8"/>
      <w:bookmarkEnd w:id="9"/>
      <w:bookmarkEnd w:id="10"/>
      <w:bookmarkEnd w:id="11"/>
      <w:bookmarkEnd w:id="12"/>
      <w:bookmarkEnd w:id="13"/>
      <w:bookmarkEnd w:id="14"/>
    </w:p>
    <w:p w:rsidR="0002617F" w:rsidRPr="007223FB" w:rsidRDefault="00A77F4A" w:rsidP="000B07D9">
      <w:pPr>
        <w:pStyle w:val="Ttulo2"/>
        <w:numPr>
          <w:ilvl w:val="1"/>
          <w:numId w:val="6"/>
        </w:numPr>
        <w:spacing w:before="120" w:after="120" w:line="240" w:lineRule="auto"/>
        <w:ind w:left="851"/>
        <w:rPr>
          <w:szCs w:val="22"/>
        </w:rPr>
      </w:pPr>
      <w:bookmarkStart w:id="15" w:name="_Toc19527417"/>
      <w:r w:rsidRPr="007223FB">
        <w:rPr>
          <w:szCs w:val="22"/>
        </w:rPr>
        <w:t>Tolerancia cero a la corrupción y modernización del Estado</w:t>
      </w:r>
      <w:bookmarkEnd w:id="15"/>
    </w:p>
    <w:p w:rsidR="002830B8" w:rsidRPr="007223FB" w:rsidRDefault="00736DB2" w:rsidP="006C13F5">
      <w:pPr>
        <w:spacing w:before="120" w:after="120" w:line="240" w:lineRule="auto"/>
      </w:pPr>
      <w:r w:rsidRPr="007223FB">
        <w:t>Las instituciones que conforman el sector justicia, no cuentan con vinculación presupuestaria para este eje.</w:t>
      </w:r>
    </w:p>
    <w:p w:rsidR="0002617F" w:rsidRPr="007223FB" w:rsidRDefault="00A77F4A" w:rsidP="000B07D9">
      <w:pPr>
        <w:pStyle w:val="Ttulo2"/>
        <w:numPr>
          <w:ilvl w:val="1"/>
          <w:numId w:val="6"/>
        </w:numPr>
        <w:spacing w:before="120" w:after="120" w:line="240" w:lineRule="auto"/>
        <w:ind w:left="851"/>
        <w:rPr>
          <w:szCs w:val="22"/>
        </w:rPr>
      </w:pPr>
      <w:bookmarkStart w:id="16" w:name="_Toc19527418"/>
      <w:r w:rsidRPr="007223FB">
        <w:rPr>
          <w:szCs w:val="22"/>
        </w:rPr>
        <w:t>Seguridad alimentaria y nutricional, salud integral y educación de calidad</w:t>
      </w:r>
      <w:bookmarkEnd w:id="16"/>
    </w:p>
    <w:p w:rsidR="00E461C5" w:rsidRPr="007223FB" w:rsidRDefault="00E73EEB" w:rsidP="00E73EEB">
      <w:pPr>
        <w:pStyle w:val="Ttulo3"/>
        <w:numPr>
          <w:ilvl w:val="0"/>
          <w:numId w:val="0"/>
        </w:numPr>
        <w:tabs>
          <w:tab w:val="left" w:pos="1985"/>
        </w:tabs>
        <w:ind w:left="1560" w:hanging="709"/>
      </w:pPr>
      <w:bookmarkStart w:id="17" w:name="_Toc19527419"/>
      <w:r>
        <w:t>2.2.1</w:t>
      </w:r>
      <w:r>
        <w:tab/>
      </w:r>
      <w:r w:rsidR="00E461C5" w:rsidRPr="007223FB">
        <w:t>En 2019 se habrá reducido la desnutrición crónica en 10 puntos porcentuales en niños menores de dos años, con prioridad en la niñez indígena y de áreas rurales.</w:t>
      </w:r>
      <w:bookmarkEnd w:id="17"/>
      <w:r w:rsidR="00E461C5" w:rsidRPr="007223FB">
        <w:t xml:space="preserve">  </w:t>
      </w:r>
    </w:p>
    <w:p w:rsidR="00DB33D9" w:rsidRPr="007223FB" w:rsidRDefault="00DB33D9" w:rsidP="006C13F5">
      <w:pPr>
        <w:spacing w:before="120" w:after="120" w:line="240" w:lineRule="auto"/>
        <w:rPr>
          <w:lang w:val="es-ES" w:eastAsia="es-ES"/>
        </w:rPr>
      </w:pPr>
      <w:r w:rsidRPr="007223FB">
        <w:rPr>
          <w:lang w:val="es-ES" w:eastAsia="es-ES"/>
        </w:rPr>
        <w:t xml:space="preserve">La </w:t>
      </w:r>
      <w:r w:rsidR="00AF0351" w:rsidRPr="007223FB">
        <w:rPr>
          <w:lang w:val="es-ES" w:eastAsia="es-ES"/>
        </w:rPr>
        <w:t>SESAN</w:t>
      </w:r>
      <w:r w:rsidRPr="007223FB">
        <w:rPr>
          <w:lang w:val="es-ES" w:eastAsia="es-ES"/>
        </w:rPr>
        <w:t xml:space="preserve"> es coordinadora corresponsable, con el Comisionado de Seguridad Alimentaria, de coordinar, dar seguimiento y la rendición de cuentas sobre el Resultado Estratégico: “Para el 2019, se ha disminuido la prevalencia de desnutrición crónica en niños menores de dos años, en 10 puntos porcentuales (De 41.7% en 2015 a 31.7% en 2019) establecida en la PGG2016-2020.  </w:t>
      </w:r>
    </w:p>
    <w:p w:rsidR="00DB33D9" w:rsidRPr="007223FB" w:rsidRDefault="00DB33D9" w:rsidP="006C13F5">
      <w:pPr>
        <w:spacing w:before="120" w:after="120" w:line="240" w:lineRule="auto"/>
        <w:rPr>
          <w:lang w:val="es-ES" w:eastAsia="es-ES"/>
        </w:rPr>
      </w:pPr>
      <w:r w:rsidRPr="007223FB">
        <w:rPr>
          <w:lang w:val="es-ES" w:eastAsia="es-ES"/>
        </w:rPr>
        <w:t xml:space="preserve">Para el cumplimiento del RE “ </w:t>
      </w:r>
      <w:r w:rsidR="006E0030" w:rsidRPr="007223FB">
        <w:rPr>
          <w:lang w:val="es-ES" w:eastAsia="es-ES"/>
        </w:rPr>
        <w:t>en</w:t>
      </w:r>
      <w:r w:rsidRPr="007223FB">
        <w:rPr>
          <w:lang w:val="es-ES" w:eastAsia="es-ES"/>
        </w:rPr>
        <w:t xml:space="preserve"> el año 2019, se ha disminuido la prevalencia de desnutrición crónica en niños menores de dos años, en 10 puntos porcentuales (de 41.7 en 2015 a 31.7% en 2019),  durante el segundo cuatrimestre del año 2019 la SESAN, tiene dos productos que coadyuven a la prevalencia  de desnutrición crónica, para el producto “Personal de instituciones públicas y  actores del SINASAN coordinados y asistidos técnicamente en prevención de la desnutrición crónica” tiene una meta vigente de 500 personas de las cuales no se obtuvo ningún avance físico únicamente financiero siendo de Q. 0.75 millones, para el producto “Informes de seguimiento de las acciones de prevención de la desnutrición crónica” se tiene una meta vigente de 140 documentos, dentro del segundo cuatrimestre y en el acumulado no se tiene avance físico ni financiero durante el ejercicio fiscal 2019.</w:t>
      </w:r>
    </w:p>
    <w:p w:rsidR="00197BB6" w:rsidRPr="007223FB" w:rsidRDefault="00197BB6" w:rsidP="006C13F5">
      <w:pPr>
        <w:autoSpaceDE w:val="0"/>
        <w:autoSpaceDN w:val="0"/>
        <w:adjustRightInd w:val="0"/>
        <w:spacing w:before="120" w:after="120" w:line="240" w:lineRule="auto"/>
        <w:rPr>
          <w:rFonts w:eastAsia="Candara" w:cs="Candara"/>
        </w:rPr>
      </w:pPr>
      <w:r w:rsidRPr="007223FB">
        <w:rPr>
          <w:rFonts w:eastAsia="Candara" w:cs="Candara"/>
          <w:color w:val="000000" w:themeColor="text1"/>
          <w:spacing w:val="2"/>
        </w:rPr>
        <w:t xml:space="preserve">De acuerdo a su planificación el Ministerio de Desarrollo Social </w:t>
      </w:r>
      <w:r w:rsidRPr="007223FB">
        <w:rPr>
          <w:rFonts w:eastAsia="Candara" w:cs="Candara"/>
          <w:color w:val="000000" w:themeColor="text1"/>
          <w:spacing w:val="1"/>
        </w:rPr>
        <w:t>c</w:t>
      </w:r>
      <w:r w:rsidRPr="007223FB">
        <w:rPr>
          <w:rFonts w:eastAsia="Candara" w:cs="Candara"/>
          <w:color w:val="000000" w:themeColor="text1"/>
          <w:spacing w:val="-3"/>
        </w:rPr>
        <w:t>o</w:t>
      </w:r>
      <w:r w:rsidRPr="007223FB">
        <w:rPr>
          <w:rFonts w:eastAsia="Candara" w:cs="Candara"/>
          <w:color w:val="000000" w:themeColor="text1"/>
          <w:spacing w:val="1"/>
        </w:rPr>
        <w:t>n</w:t>
      </w:r>
      <w:r w:rsidRPr="007223FB">
        <w:rPr>
          <w:rFonts w:eastAsia="Candara" w:cs="Candara"/>
          <w:color w:val="000000" w:themeColor="text1"/>
        </w:rPr>
        <w:t>t</w:t>
      </w:r>
      <w:r w:rsidRPr="007223FB">
        <w:rPr>
          <w:rFonts w:eastAsia="Candara" w:cs="Candara"/>
          <w:color w:val="000000" w:themeColor="text1"/>
          <w:spacing w:val="1"/>
        </w:rPr>
        <w:t>r</w:t>
      </w:r>
      <w:r w:rsidRPr="007223FB">
        <w:rPr>
          <w:rFonts w:eastAsia="Candara" w:cs="Candara"/>
          <w:color w:val="000000" w:themeColor="text1"/>
        </w:rPr>
        <w:t>ib</w:t>
      </w:r>
      <w:r w:rsidRPr="007223FB">
        <w:rPr>
          <w:rFonts w:eastAsia="Candara" w:cs="Candara"/>
          <w:color w:val="000000" w:themeColor="text1"/>
          <w:spacing w:val="-3"/>
        </w:rPr>
        <w:t>u</w:t>
      </w:r>
      <w:r w:rsidRPr="007223FB">
        <w:rPr>
          <w:rFonts w:eastAsia="Candara" w:cs="Candara"/>
          <w:color w:val="000000" w:themeColor="text1"/>
          <w:spacing w:val="1"/>
        </w:rPr>
        <w:t>y</w:t>
      </w:r>
      <w:r w:rsidRPr="007223FB">
        <w:rPr>
          <w:rFonts w:eastAsia="Candara" w:cs="Candara"/>
          <w:color w:val="000000" w:themeColor="text1"/>
        </w:rPr>
        <w:t xml:space="preserve">e a este resultado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la</w:t>
      </w:r>
      <w:r w:rsidRPr="007223FB">
        <w:rPr>
          <w:rFonts w:eastAsia="Candara" w:cs="Candara"/>
          <w:spacing w:val="3"/>
        </w:rPr>
        <w:t xml:space="preserve"> </w:t>
      </w:r>
      <w:r w:rsidRPr="007223FB">
        <w:rPr>
          <w:rFonts w:eastAsia="Candara" w:cs="Candara"/>
        </w:rPr>
        <w:t>f</w:t>
      </w:r>
      <w:r w:rsidRPr="007223FB">
        <w:rPr>
          <w:rFonts w:eastAsia="Candara" w:cs="Candara"/>
          <w:spacing w:val="-1"/>
        </w:rPr>
        <w:t>o</w:t>
      </w:r>
      <w:r w:rsidRPr="007223FB">
        <w:rPr>
          <w:rFonts w:eastAsia="Candara" w:cs="Candara"/>
          <w:spacing w:val="1"/>
        </w:rPr>
        <w:t>r</w:t>
      </w:r>
      <w:r w:rsidRPr="007223FB">
        <w:rPr>
          <w:rFonts w:eastAsia="Candara" w:cs="Candara"/>
        </w:rPr>
        <w:t>ma</w:t>
      </w:r>
      <w:r w:rsidRPr="007223FB">
        <w:rPr>
          <w:rFonts w:eastAsia="Candara" w:cs="Candara"/>
          <w:spacing w:val="3"/>
        </w:rPr>
        <w:t xml:space="preserve"> </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rPr>
        <w:t>uie</w:t>
      </w:r>
      <w:r w:rsidRPr="007223FB">
        <w:rPr>
          <w:rFonts w:eastAsia="Candara" w:cs="Candara"/>
          <w:spacing w:val="-2"/>
        </w:rPr>
        <w:t>n</w:t>
      </w:r>
      <w:r w:rsidRPr="007223FB">
        <w:rPr>
          <w:rFonts w:eastAsia="Candara" w:cs="Candara"/>
        </w:rPr>
        <w:t>te:</w:t>
      </w:r>
      <w:r w:rsidRPr="007223FB">
        <w:rPr>
          <w:rFonts w:eastAsia="Candara" w:cs="Candara"/>
          <w:spacing w:val="-7"/>
        </w:rPr>
        <w:t xml:space="preserve"> </w:t>
      </w:r>
      <w:r w:rsidRPr="007223FB">
        <w:rPr>
          <w:rFonts w:eastAsia="Candara" w:cs="Candara"/>
          <w:spacing w:val="1"/>
        </w:rPr>
        <w:t>c</w:t>
      </w:r>
      <w:r w:rsidRPr="007223FB">
        <w:rPr>
          <w:rFonts w:eastAsia="Candara" w:cs="Candara"/>
          <w:spacing w:val="-1"/>
        </w:rPr>
        <w:t>o</w:t>
      </w:r>
      <w:r w:rsidRPr="007223FB">
        <w:rPr>
          <w:rFonts w:eastAsia="Candara" w:cs="Candara"/>
        </w:rPr>
        <w:t>n</w:t>
      </w:r>
      <w:r w:rsidRPr="007223FB">
        <w:rPr>
          <w:rFonts w:eastAsia="Candara" w:cs="Candara"/>
          <w:spacing w:val="4"/>
        </w:rPr>
        <w:t xml:space="preserve"> </w:t>
      </w:r>
      <w:r w:rsidRPr="007223FB">
        <w:rPr>
          <w:rFonts w:eastAsia="Candara" w:cs="Candara"/>
        </w:rPr>
        <w:t>u</w:t>
      </w:r>
      <w:r w:rsidRPr="007223FB">
        <w:rPr>
          <w:rFonts w:eastAsia="Candara" w:cs="Candara"/>
          <w:spacing w:val="1"/>
        </w:rPr>
        <w:t>n</w:t>
      </w:r>
      <w:r w:rsidRPr="007223FB">
        <w:rPr>
          <w:rFonts w:eastAsia="Candara" w:cs="Candara"/>
        </w:rPr>
        <w:t>a</w:t>
      </w:r>
      <w:r w:rsidRPr="007223FB">
        <w:rPr>
          <w:rFonts w:eastAsia="Candara" w:cs="Candara"/>
          <w:spacing w:val="3"/>
        </w:rPr>
        <w:t xml:space="preserve"> </w:t>
      </w:r>
      <w:r w:rsidRPr="007223FB">
        <w:rPr>
          <w:rFonts w:eastAsia="Candara" w:cs="Candara"/>
          <w:spacing w:val="-2"/>
        </w:rPr>
        <w:t>a</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spacing w:val="1"/>
        </w:rPr>
        <w:t>n</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f</w:t>
      </w:r>
      <w:r w:rsidRPr="007223FB">
        <w:rPr>
          <w:rFonts w:eastAsia="Candara" w:cs="Candara"/>
          <w:spacing w:val="-2"/>
        </w:rPr>
        <w:t>i</w:t>
      </w:r>
      <w:r w:rsidRPr="007223FB">
        <w:rPr>
          <w:rFonts w:eastAsia="Candara" w:cs="Candara"/>
          <w:spacing w:val="1"/>
        </w:rPr>
        <w:t>n</w:t>
      </w:r>
      <w:r w:rsidRPr="007223FB">
        <w:rPr>
          <w:rFonts w:eastAsia="Candara" w:cs="Candara"/>
        </w:rPr>
        <w:t>a</w:t>
      </w:r>
      <w:r w:rsidRPr="007223FB">
        <w:rPr>
          <w:rFonts w:eastAsia="Candara" w:cs="Candara"/>
          <w:spacing w:val="-2"/>
        </w:rPr>
        <w:t>n</w:t>
      </w:r>
      <w:r w:rsidRPr="007223FB">
        <w:rPr>
          <w:rFonts w:eastAsia="Candara" w:cs="Candara"/>
          <w:spacing w:val="1"/>
        </w:rPr>
        <w:t>c</w:t>
      </w:r>
      <w:r w:rsidRPr="007223FB">
        <w:rPr>
          <w:rFonts w:eastAsia="Candara" w:cs="Candara"/>
        </w:rPr>
        <w:t>ie</w:t>
      </w:r>
      <w:r w:rsidRPr="007223FB">
        <w:rPr>
          <w:rFonts w:eastAsia="Candara" w:cs="Candara"/>
          <w:spacing w:val="1"/>
        </w:rPr>
        <w:t>r</w:t>
      </w:r>
      <w:r w:rsidRPr="007223FB">
        <w:rPr>
          <w:rFonts w:eastAsia="Candara" w:cs="Candara"/>
        </w:rPr>
        <w:t>a</w:t>
      </w:r>
      <w:r w:rsidRPr="007223FB">
        <w:rPr>
          <w:rFonts w:eastAsia="Candara" w:cs="Candara"/>
          <w:spacing w:val="3"/>
        </w:rPr>
        <w:t xml:space="preserve"> inicial </w:t>
      </w:r>
      <w:r w:rsidRPr="007223FB">
        <w:rPr>
          <w:rFonts w:eastAsia="Candara" w:cs="Candara"/>
          <w:spacing w:val="1"/>
        </w:rPr>
        <w:t>d</w:t>
      </w:r>
      <w:r w:rsidRPr="007223FB">
        <w:rPr>
          <w:rFonts w:eastAsia="Candara" w:cs="Candara"/>
        </w:rPr>
        <w:t>e</w:t>
      </w:r>
      <w:r w:rsidRPr="007223FB">
        <w:rPr>
          <w:rFonts w:eastAsia="Candara" w:cs="Candara"/>
          <w:spacing w:val="3"/>
        </w:rPr>
        <w:t xml:space="preserve"> </w:t>
      </w:r>
      <w:r w:rsidRPr="007223FB">
        <w:rPr>
          <w:rFonts w:eastAsia="Candara" w:cs="Candara"/>
        </w:rPr>
        <w:t>Q</w:t>
      </w:r>
      <w:r w:rsidRPr="007223FB">
        <w:rPr>
          <w:rFonts w:eastAsia="Candara" w:cs="Candara"/>
          <w:spacing w:val="4"/>
        </w:rPr>
        <w:t xml:space="preserve"> 175.1 </w:t>
      </w:r>
      <w:r w:rsidRPr="007223FB">
        <w:rPr>
          <w:rFonts w:eastAsia="Candara" w:cs="Candara"/>
        </w:rPr>
        <w:t>mill</w:t>
      </w:r>
      <w:r w:rsidRPr="007223FB">
        <w:rPr>
          <w:rFonts w:eastAsia="Candara" w:cs="Candara"/>
          <w:spacing w:val="-1"/>
        </w:rPr>
        <w:t>o</w:t>
      </w:r>
      <w:r w:rsidRPr="007223FB">
        <w:rPr>
          <w:rFonts w:eastAsia="Candara" w:cs="Candara"/>
          <w:spacing w:val="1"/>
        </w:rPr>
        <w:t>n</w:t>
      </w:r>
      <w:r w:rsidRPr="007223FB">
        <w:rPr>
          <w:rFonts w:eastAsia="Candara" w:cs="Candara"/>
        </w:rPr>
        <w:t>es y vigente de Q 61.2 millones con una ejecución para el cuatrimestre de Q 9 millones equivalente a 15% y acumulada de Q 16.5 millones correspondiente a 27%</w:t>
      </w:r>
    </w:p>
    <w:p w:rsidR="00197BB6" w:rsidRPr="007223FB" w:rsidRDefault="00197BB6" w:rsidP="006C13F5">
      <w:pPr>
        <w:spacing w:before="120" w:after="120" w:line="240" w:lineRule="auto"/>
        <w:rPr>
          <w:lang w:val="es-ES" w:eastAsia="es-ES"/>
        </w:rPr>
      </w:pPr>
      <w:r w:rsidRPr="007223FB">
        <w:rPr>
          <w:rFonts w:eastAsia="Candara" w:cs="Candara"/>
        </w:rPr>
        <w:t>Presenta avance físico para el cuatrimestre y anual de la forma siguiente: producto</w:t>
      </w:r>
      <w:r w:rsidRPr="007223FB">
        <w:rPr>
          <w:rFonts w:cs="Arial"/>
        </w:rPr>
        <w:t xml:space="preserve"> “Transferencias monetarias condicionadas entregadas a familias con niños y niñas entre 0 y 5 años y mujeres embarazadas o en periodo de lactancia que cumplen con sus controles de salud” de 11.69% para el cuatr</w:t>
      </w:r>
      <w:r w:rsidR="007D5B71" w:rsidRPr="007223FB">
        <w:rPr>
          <w:rFonts w:cs="Arial"/>
        </w:rPr>
        <w:t xml:space="preserve">imestre y 21.12% acumulado.  En </w:t>
      </w:r>
      <w:r w:rsidRPr="007223FB">
        <w:rPr>
          <w:rFonts w:cs="Arial"/>
        </w:rPr>
        <w:t>el producto “Transferencias monetarias condicionadas entregadas a niñas y adolescentes embarazadas o madres de 14 o menos años de edad víctimas de violencia sexual judicializadas que cumplen con sus controles de salud”, presenta avance físico de 18% para el cuatrimestre y 36% acumulado.</w:t>
      </w:r>
    </w:p>
    <w:p w:rsidR="00E73EEB" w:rsidRDefault="00E73EEB" w:rsidP="00E73EEB">
      <w:pPr>
        <w:pStyle w:val="Ttulo3"/>
        <w:numPr>
          <w:ilvl w:val="0"/>
          <w:numId w:val="0"/>
        </w:numPr>
        <w:tabs>
          <w:tab w:val="left" w:pos="1985"/>
        </w:tabs>
        <w:ind w:left="1560" w:hanging="709"/>
      </w:pPr>
      <w:bookmarkStart w:id="18" w:name="_Toc19527420"/>
      <w:r>
        <w:t>2.2.2</w:t>
      </w:r>
      <w:r>
        <w:tab/>
      </w:r>
      <w:r w:rsidR="00E461C5" w:rsidRPr="00E73EEB">
        <w:t>Para el 2019, se ha disminuido la población subalimentada en 1 punto porcentual (De 15.6% en 2015 a 14.6% en 2019).</w:t>
      </w:r>
      <w:bookmarkEnd w:id="18"/>
    </w:p>
    <w:p w:rsidR="00DB33D9" w:rsidRDefault="00DB33D9" w:rsidP="006C13F5">
      <w:pPr>
        <w:spacing w:before="120" w:after="120" w:line="240" w:lineRule="auto"/>
        <w:rPr>
          <w:bCs/>
          <w:iCs/>
        </w:rPr>
      </w:pPr>
      <w:r w:rsidRPr="007223FB">
        <w:rPr>
          <w:bCs/>
          <w:iCs/>
        </w:rPr>
        <w:t xml:space="preserve">En cumplimiento al mandato institucional, el MAGA en la planificación y programación 2019 responde a la Política General de Gobierno PGG 2016-2020 al eje </w:t>
      </w:r>
      <w:r w:rsidRPr="007223FB">
        <w:rPr>
          <w:bCs/>
          <w:i/>
          <w:iCs/>
        </w:rPr>
        <w:t>“Seguridad Alimentaria, Salud Integral y Educación para todas y todos”</w:t>
      </w:r>
      <w:r w:rsidRPr="007223FB">
        <w:rPr>
          <w:bCs/>
          <w:iCs/>
        </w:rPr>
        <w:t>. En el POA 2019</w:t>
      </w:r>
      <w:r w:rsidR="006E0030" w:rsidRPr="007223FB">
        <w:rPr>
          <w:bCs/>
          <w:iCs/>
        </w:rPr>
        <w:t xml:space="preserve"> </w:t>
      </w:r>
      <w:r w:rsidRPr="007223FB">
        <w:rPr>
          <w:bCs/>
          <w:iCs/>
        </w:rPr>
        <w:t xml:space="preserve">el MAGA contribuye a un resultado estratégico del cual es rector: “Para el 2019, se ha disminuido la población subalimentada en un punto porcentual (De 15.6% en 2015 a 14.6% en2019)”, considerando que para la consecución del mismo se definen doce productos. </w:t>
      </w:r>
    </w:p>
    <w:p w:rsidR="00731E55" w:rsidRDefault="00731E55" w:rsidP="006C13F5">
      <w:pPr>
        <w:spacing w:before="120" w:after="120" w:line="240" w:lineRule="auto"/>
        <w:rPr>
          <w:bCs/>
          <w:iCs/>
        </w:rPr>
      </w:pPr>
    </w:p>
    <w:p w:rsidR="00731E55" w:rsidRPr="007223FB" w:rsidRDefault="00731E55" w:rsidP="006C13F5">
      <w:pPr>
        <w:spacing w:before="120" w:after="120" w:line="240" w:lineRule="auto"/>
        <w:rPr>
          <w:bCs/>
          <w:iCs/>
        </w:rPr>
      </w:pPr>
    </w:p>
    <w:p w:rsidR="00DB33D9" w:rsidRPr="00A17383" w:rsidRDefault="00DB33D9" w:rsidP="00A17383">
      <w:pPr>
        <w:pStyle w:val="Ttulo4"/>
        <w:numPr>
          <w:ilvl w:val="0"/>
          <w:numId w:val="0"/>
        </w:numPr>
        <w:ind w:left="864"/>
        <w:rPr>
          <w:rFonts w:ascii="Candara" w:hAnsi="Candara"/>
          <w:b/>
          <w:color w:val="auto"/>
          <w:sz w:val="18"/>
        </w:rPr>
      </w:pPr>
      <w:bookmarkStart w:id="19" w:name="_Toc19524687"/>
      <w:r w:rsidRPr="00A17383">
        <w:rPr>
          <w:rFonts w:ascii="Candara" w:hAnsi="Candara"/>
          <w:b/>
          <w:color w:val="auto"/>
          <w:sz w:val="18"/>
        </w:rPr>
        <w:lastRenderedPageBreak/>
        <w:t xml:space="preserve">Cuadro </w:t>
      </w:r>
      <w:r w:rsidR="00A17383" w:rsidRPr="00A17383">
        <w:rPr>
          <w:rFonts w:ascii="Candara" w:hAnsi="Candara"/>
          <w:b/>
          <w:color w:val="auto"/>
          <w:sz w:val="18"/>
        </w:rPr>
        <w:t>1</w:t>
      </w:r>
      <w:r w:rsidR="00A17383" w:rsidRPr="00A17383">
        <w:rPr>
          <w:rFonts w:ascii="Candara" w:hAnsi="Candara"/>
          <w:b/>
          <w:color w:val="auto"/>
          <w:sz w:val="18"/>
        </w:rPr>
        <w:br/>
      </w:r>
      <w:r w:rsidRPr="00A17383">
        <w:rPr>
          <w:rFonts w:ascii="Candara" w:hAnsi="Candara"/>
          <w:b/>
          <w:color w:val="auto"/>
          <w:sz w:val="18"/>
        </w:rPr>
        <w:t>Ministerio de Agricultura, Ganadería y Alimentación</w:t>
      </w:r>
      <w:r w:rsidR="00A17383" w:rsidRPr="00A17383">
        <w:rPr>
          <w:rFonts w:ascii="Candara" w:hAnsi="Candara"/>
          <w:b/>
          <w:color w:val="auto"/>
          <w:sz w:val="18"/>
        </w:rPr>
        <w:br/>
      </w:r>
      <w:r w:rsidRPr="00A17383">
        <w:rPr>
          <w:rFonts w:ascii="Candara" w:hAnsi="Candara"/>
          <w:b/>
          <w:color w:val="auto"/>
          <w:sz w:val="18"/>
        </w:rPr>
        <w:t>Resultado Estratégico, productos y subproductos</w:t>
      </w:r>
      <w:r w:rsidR="00A17383" w:rsidRPr="00A17383">
        <w:rPr>
          <w:rFonts w:ascii="Candara" w:hAnsi="Candara"/>
          <w:b/>
          <w:color w:val="auto"/>
          <w:sz w:val="18"/>
        </w:rPr>
        <w:br/>
      </w:r>
      <w:r w:rsidRPr="00A17383">
        <w:rPr>
          <w:rFonts w:ascii="Candara" w:hAnsi="Candara"/>
          <w:b/>
          <w:color w:val="auto"/>
          <w:sz w:val="18"/>
        </w:rPr>
        <w:t>Ejercicio Fiscal Segundo Cuatrimestre 2019</w:t>
      </w:r>
      <w:bookmarkEnd w:id="19"/>
    </w:p>
    <w:tbl>
      <w:tblPr>
        <w:tblStyle w:val="Tabladecuadrcula5oscura-nfasis11"/>
        <w:tblW w:w="5545" w:type="pct"/>
        <w:tblInd w:w="-714" w:type="dxa"/>
        <w:tblLayout w:type="fixed"/>
        <w:tblLook w:val="04A0" w:firstRow="1" w:lastRow="0" w:firstColumn="1" w:lastColumn="0" w:noHBand="0" w:noVBand="1"/>
      </w:tblPr>
      <w:tblGrid>
        <w:gridCol w:w="1603"/>
        <w:gridCol w:w="2320"/>
        <w:gridCol w:w="870"/>
        <w:gridCol w:w="874"/>
        <w:gridCol w:w="1305"/>
        <w:gridCol w:w="1449"/>
        <w:gridCol w:w="1163"/>
        <w:gridCol w:w="874"/>
      </w:tblGrid>
      <w:tr w:rsidR="00391323" w:rsidRPr="00CE0FD5" w:rsidTr="00CE0FD5">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766" w:type="pct"/>
            <w:vMerge w:val="restart"/>
          </w:tcPr>
          <w:p w:rsidR="006E0030" w:rsidRPr="00CE0FD5" w:rsidRDefault="006E0030" w:rsidP="00E3543B">
            <w:pPr>
              <w:tabs>
                <w:tab w:val="center" w:pos="4362"/>
              </w:tabs>
              <w:jc w:val="center"/>
              <w:rPr>
                <w:rFonts w:eastAsia="Times New Roman" w:cs="Times New Roman"/>
                <w:sz w:val="18"/>
                <w:szCs w:val="18"/>
                <w:lang w:eastAsia="es-ES"/>
              </w:rPr>
            </w:pPr>
          </w:p>
          <w:p w:rsidR="006E0030" w:rsidRPr="00CE0FD5" w:rsidRDefault="006E0030" w:rsidP="00E3543B">
            <w:pPr>
              <w:tabs>
                <w:tab w:val="center" w:pos="4362"/>
              </w:tabs>
              <w:jc w:val="center"/>
              <w:rPr>
                <w:rFonts w:eastAsia="Times New Roman" w:cs="Times New Roman"/>
                <w:sz w:val="18"/>
                <w:szCs w:val="18"/>
                <w:lang w:eastAsia="es-ES"/>
              </w:rPr>
            </w:pPr>
          </w:p>
          <w:p w:rsidR="00DB33D9" w:rsidRPr="00CE0FD5" w:rsidRDefault="00DB33D9" w:rsidP="00E3543B">
            <w:pPr>
              <w:tabs>
                <w:tab w:val="center" w:pos="4362"/>
              </w:tabs>
              <w:jc w:val="center"/>
              <w:rPr>
                <w:rFonts w:eastAsia="Times New Roman" w:cs="Times New Roman"/>
                <w:sz w:val="18"/>
                <w:szCs w:val="18"/>
                <w:lang w:eastAsia="es-ES"/>
              </w:rPr>
            </w:pPr>
            <w:r w:rsidRPr="00CE0FD5">
              <w:rPr>
                <w:rFonts w:eastAsia="Times New Roman" w:cs="Times New Roman"/>
                <w:sz w:val="18"/>
                <w:szCs w:val="18"/>
                <w:lang w:eastAsia="es-ES"/>
              </w:rPr>
              <w:t>Resultado</w:t>
            </w:r>
          </w:p>
        </w:tc>
        <w:tc>
          <w:tcPr>
            <w:tcW w:w="1109" w:type="pct"/>
            <w:vMerge w:val="restart"/>
          </w:tcPr>
          <w:p w:rsidR="006E0030" w:rsidRPr="00CE0FD5" w:rsidRDefault="006E0030"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p w:rsidR="006E0030" w:rsidRPr="00CE0FD5" w:rsidRDefault="006E0030"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Productos</w:t>
            </w:r>
          </w:p>
        </w:tc>
        <w:tc>
          <w:tcPr>
            <w:tcW w:w="3125" w:type="pct"/>
            <w:gridSpan w:val="6"/>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Avance físico</w:t>
            </w:r>
          </w:p>
        </w:tc>
      </w:tr>
      <w:tr w:rsidR="000C1E8B" w:rsidRPr="00CE0FD5" w:rsidTr="00CE0FD5">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tabs>
                <w:tab w:val="center" w:pos="4362"/>
              </w:tabs>
              <w:jc w:val="center"/>
              <w:rPr>
                <w:rFonts w:eastAsia="Times New Roman" w:cs="Times New Roman"/>
                <w:sz w:val="18"/>
                <w:szCs w:val="18"/>
                <w:lang w:eastAsia="es-ES"/>
              </w:rPr>
            </w:pPr>
          </w:p>
        </w:tc>
        <w:tc>
          <w:tcPr>
            <w:tcW w:w="1109" w:type="pct"/>
            <w:vMerge/>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p>
        </w:tc>
        <w:tc>
          <w:tcPr>
            <w:tcW w:w="416"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Inicial</w:t>
            </w:r>
          </w:p>
        </w:tc>
        <w:tc>
          <w:tcPr>
            <w:tcW w:w="418"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Vigente</w:t>
            </w:r>
          </w:p>
        </w:tc>
        <w:tc>
          <w:tcPr>
            <w:tcW w:w="624"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Ejecutado</w:t>
            </w:r>
          </w:p>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1er cuatrimestre</w:t>
            </w:r>
          </w:p>
        </w:tc>
        <w:tc>
          <w:tcPr>
            <w:tcW w:w="693"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Ejecutado</w:t>
            </w:r>
          </w:p>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2do cuatrimestre</w:t>
            </w:r>
          </w:p>
        </w:tc>
        <w:tc>
          <w:tcPr>
            <w:tcW w:w="556"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Total Ejecutado</w:t>
            </w:r>
          </w:p>
        </w:tc>
        <w:tc>
          <w:tcPr>
            <w:tcW w:w="418" w:type="pct"/>
          </w:tcPr>
          <w:p w:rsidR="00DB33D9" w:rsidRPr="00CE0FD5" w:rsidRDefault="00DB33D9" w:rsidP="00E3543B">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 de avance</w:t>
            </w:r>
          </w:p>
        </w:tc>
      </w:tr>
      <w:tr w:rsidR="000C1E8B" w:rsidRPr="00CE0FD5" w:rsidTr="006044F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766" w:type="pct"/>
            <w:vMerge w:val="restart"/>
          </w:tcPr>
          <w:p w:rsidR="00DB33D9" w:rsidRPr="00CE0FD5" w:rsidRDefault="00DB33D9" w:rsidP="00391323">
            <w:pPr>
              <w:tabs>
                <w:tab w:val="center" w:pos="4362"/>
              </w:tabs>
              <w:jc w:val="left"/>
              <w:rPr>
                <w:rFonts w:eastAsia="Times New Roman" w:cs="Times New Roman"/>
                <w:sz w:val="18"/>
                <w:szCs w:val="18"/>
                <w:lang w:eastAsia="es-ES"/>
              </w:rPr>
            </w:pPr>
            <w:r w:rsidRPr="00CE0FD5">
              <w:rPr>
                <w:rFonts w:eastAsia="Times New Roman" w:cs="Times New Roman"/>
                <w:sz w:val="18"/>
                <w:szCs w:val="18"/>
                <w:lang w:eastAsia="es-ES"/>
              </w:rPr>
              <w:t>Para el 2019, se ha disminuido la población subalimentada en un punto porcentual (De 15.6% en 2015 a 14.6% en2019)</w:t>
            </w:r>
          </w:p>
        </w:tc>
        <w:tc>
          <w:tcPr>
            <w:tcW w:w="1109" w:type="pct"/>
          </w:tcPr>
          <w:p w:rsidR="00DB33D9" w:rsidRPr="00CE0FD5" w:rsidRDefault="00DB33D9" w:rsidP="00391323">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Entrega de Alimentos a familias por acciones en la comunidad por riesgo y damnificados por eventos climáticos y desastres naturales a población vulnerable</w:t>
            </w:r>
          </w:p>
        </w:tc>
        <w:tc>
          <w:tcPr>
            <w:tcW w:w="41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E0FD5">
              <w:rPr>
                <w:rFonts w:eastAsia="Calibri" w:cs="Arial"/>
                <w:sz w:val="18"/>
                <w:szCs w:val="18"/>
              </w:rPr>
              <w:t>127,495</w:t>
            </w:r>
            <w:r w:rsidRPr="00CE0FD5">
              <w:rPr>
                <w:rFonts w:eastAsia="Calibri" w:cs="Arial"/>
                <w:sz w:val="18"/>
                <w:szCs w:val="18"/>
              </w:rPr>
              <w:tab/>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67,464</w:t>
            </w:r>
          </w:p>
        </w:tc>
        <w:tc>
          <w:tcPr>
            <w:tcW w:w="624"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8,195</w:t>
            </w:r>
          </w:p>
        </w:tc>
        <w:tc>
          <w:tcPr>
            <w:tcW w:w="693"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74,690</w:t>
            </w:r>
          </w:p>
        </w:tc>
        <w:tc>
          <w:tcPr>
            <w:tcW w:w="55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82,885</w:t>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47.35</w:t>
            </w:r>
          </w:p>
        </w:tc>
      </w:tr>
      <w:tr w:rsidR="000C1E8B" w:rsidRPr="00CE0FD5" w:rsidTr="006044F2">
        <w:trPr>
          <w:trHeight w:val="132"/>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autoSpaceDE w:val="0"/>
              <w:autoSpaceDN w:val="0"/>
              <w:adjustRightInd w:val="0"/>
              <w:rPr>
                <w:rFonts w:eastAsia="Calibri" w:cs="Courier"/>
                <w:sz w:val="18"/>
                <w:szCs w:val="18"/>
              </w:rPr>
            </w:pPr>
          </w:p>
        </w:tc>
        <w:tc>
          <w:tcPr>
            <w:tcW w:w="1109" w:type="pct"/>
          </w:tcPr>
          <w:p w:rsidR="00DB33D9" w:rsidRPr="00CE0FD5" w:rsidRDefault="00DB33D9" w:rsidP="00391323">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Mujeres en el área rural con buenas prácticas para el hogar</w:t>
            </w:r>
          </w:p>
        </w:tc>
        <w:tc>
          <w:tcPr>
            <w:tcW w:w="41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154,500</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154,500</w:t>
            </w:r>
          </w:p>
        </w:tc>
        <w:tc>
          <w:tcPr>
            <w:tcW w:w="624" w:type="pct"/>
          </w:tcPr>
          <w:p w:rsidR="00DB33D9" w:rsidRPr="00CE0FD5" w:rsidRDefault="00DB33D9" w:rsidP="00E354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0</w:t>
            </w:r>
          </w:p>
        </w:tc>
        <w:tc>
          <w:tcPr>
            <w:tcW w:w="693"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104,090</w:t>
            </w:r>
          </w:p>
        </w:tc>
        <w:tc>
          <w:tcPr>
            <w:tcW w:w="55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104,090</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67.59</w:t>
            </w:r>
          </w:p>
        </w:tc>
      </w:tr>
      <w:tr w:rsidR="000C1E8B" w:rsidRPr="00CE0FD5" w:rsidTr="006044F2">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autoSpaceDE w:val="0"/>
              <w:autoSpaceDN w:val="0"/>
              <w:adjustRightInd w:val="0"/>
              <w:rPr>
                <w:rFonts w:eastAsia="Calibri" w:cs="Courier"/>
                <w:sz w:val="18"/>
                <w:szCs w:val="18"/>
              </w:rPr>
            </w:pPr>
          </w:p>
        </w:tc>
        <w:tc>
          <w:tcPr>
            <w:tcW w:w="1109" w:type="pct"/>
          </w:tcPr>
          <w:p w:rsidR="00DB33D9" w:rsidRPr="00CE0FD5" w:rsidRDefault="00DB33D9" w:rsidP="00391323">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E0FD5">
              <w:rPr>
                <w:rFonts w:eastAsia="Calibri" w:cs="Arial"/>
                <w:sz w:val="18"/>
                <w:szCs w:val="18"/>
              </w:rPr>
              <w:t>Promotores (as) y agricultores (as) de infra y subsistencia con mejoras en sus sistemas productivos en apoyo a la economía campesina</w:t>
            </w:r>
          </w:p>
        </w:tc>
        <w:tc>
          <w:tcPr>
            <w:tcW w:w="41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E0FD5">
              <w:rPr>
                <w:rFonts w:eastAsia="Calibri" w:cs="Arial"/>
                <w:sz w:val="18"/>
                <w:szCs w:val="18"/>
              </w:rPr>
              <w:t>383,765</w:t>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321,429</w:t>
            </w:r>
          </w:p>
        </w:tc>
        <w:tc>
          <w:tcPr>
            <w:tcW w:w="624" w:type="pct"/>
          </w:tcPr>
          <w:p w:rsidR="00DB33D9" w:rsidRPr="00CE0FD5" w:rsidRDefault="00DB33D9" w:rsidP="00E3543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1,325</w:t>
            </w:r>
          </w:p>
        </w:tc>
        <w:tc>
          <w:tcPr>
            <w:tcW w:w="693"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219,632</w:t>
            </w:r>
          </w:p>
        </w:tc>
        <w:tc>
          <w:tcPr>
            <w:tcW w:w="55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220,957</w:t>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68.74</w:t>
            </w:r>
          </w:p>
        </w:tc>
      </w:tr>
      <w:tr w:rsidR="000C1E8B" w:rsidRPr="00CE0FD5" w:rsidTr="006044F2">
        <w:trPr>
          <w:trHeight w:val="132"/>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autoSpaceDE w:val="0"/>
              <w:autoSpaceDN w:val="0"/>
              <w:adjustRightInd w:val="0"/>
              <w:rPr>
                <w:rFonts w:eastAsia="Calibri" w:cs="Courier"/>
                <w:sz w:val="18"/>
                <w:szCs w:val="18"/>
              </w:rPr>
            </w:pPr>
          </w:p>
        </w:tc>
        <w:tc>
          <w:tcPr>
            <w:tcW w:w="1109" w:type="pct"/>
          </w:tcPr>
          <w:p w:rsidR="00DB33D9" w:rsidRPr="00CE0FD5" w:rsidRDefault="00DB33D9" w:rsidP="00391323">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Productores (as) agropecuarios organizados apoyados en encadenamientos e implementación de proyectos productivos y de servicios para el Desarrollo Rural Integral</w:t>
            </w:r>
          </w:p>
        </w:tc>
        <w:tc>
          <w:tcPr>
            <w:tcW w:w="41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51,568</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51,568</w:t>
            </w:r>
          </w:p>
        </w:tc>
        <w:tc>
          <w:tcPr>
            <w:tcW w:w="624" w:type="pct"/>
          </w:tcPr>
          <w:p w:rsidR="00DB33D9" w:rsidRPr="00CE0FD5" w:rsidRDefault="00DB33D9" w:rsidP="00E354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998</w:t>
            </w:r>
          </w:p>
        </w:tc>
        <w:tc>
          <w:tcPr>
            <w:tcW w:w="693"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306</w:t>
            </w:r>
          </w:p>
        </w:tc>
        <w:tc>
          <w:tcPr>
            <w:tcW w:w="55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1,304</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2.53</w:t>
            </w:r>
          </w:p>
        </w:tc>
      </w:tr>
      <w:tr w:rsidR="000C1E8B" w:rsidRPr="00CE0FD5" w:rsidTr="006044F2">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tabs>
                <w:tab w:val="center" w:pos="4362"/>
              </w:tabs>
              <w:rPr>
                <w:rFonts w:eastAsia="Times New Roman" w:cs="Times New Roman"/>
                <w:sz w:val="18"/>
                <w:szCs w:val="18"/>
                <w:lang w:eastAsia="es-ES"/>
              </w:rPr>
            </w:pPr>
          </w:p>
        </w:tc>
        <w:tc>
          <w:tcPr>
            <w:tcW w:w="1109" w:type="pct"/>
          </w:tcPr>
          <w:p w:rsidR="00DB33D9" w:rsidRPr="00CE0FD5" w:rsidRDefault="00DB33D9" w:rsidP="00391323">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Familias de agricultura familiar con niños menores de dos años de edad incrementan su disponibilidad y consumo de alimentos para la prevención de la Desnutrición Crónica</w:t>
            </w:r>
          </w:p>
        </w:tc>
        <w:tc>
          <w:tcPr>
            <w:tcW w:w="41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E0FD5">
              <w:rPr>
                <w:rFonts w:eastAsia="Calibri" w:cs="Arial"/>
                <w:sz w:val="18"/>
                <w:szCs w:val="18"/>
              </w:rPr>
              <w:t>12,501</w:t>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12,501</w:t>
            </w:r>
          </w:p>
        </w:tc>
        <w:tc>
          <w:tcPr>
            <w:tcW w:w="624"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0</w:t>
            </w:r>
          </w:p>
        </w:tc>
        <w:tc>
          <w:tcPr>
            <w:tcW w:w="693"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7,976</w:t>
            </w:r>
          </w:p>
        </w:tc>
        <w:tc>
          <w:tcPr>
            <w:tcW w:w="556"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7,976</w:t>
            </w:r>
          </w:p>
        </w:tc>
        <w:tc>
          <w:tcPr>
            <w:tcW w:w="418" w:type="pct"/>
          </w:tcPr>
          <w:p w:rsidR="00DB33D9" w:rsidRPr="00CE0FD5" w:rsidRDefault="00DB33D9" w:rsidP="00E3543B">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63.8</w:t>
            </w:r>
          </w:p>
        </w:tc>
      </w:tr>
      <w:tr w:rsidR="000C1E8B" w:rsidRPr="00CE0FD5" w:rsidTr="006044F2">
        <w:trPr>
          <w:trHeight w:val="132"/>
        </w:trPr>
        <w:tc>
          <w:tcPr>
            <w:cnfStyle w:val="001000000000" w:firstRow="0" w:lastRow="0" w:firstColumn="1" w:lastColumn="0" w:oddVBand="0" w:evenVBand="0" w:oddHBand="0" w:evenHBand="0" w:firstRowFirstColumn="0" w:firstRowLastColumn="0" w:lastRowFirstColumn="0" w:lastRowLastColumn="0"/>
            <w:tcW w:w="766" w:type="pct"/>
            <w:vMerge/>
          </w:tcPr>
          <w:p w:rsidR="00DB33D9" w:rsidRPr="00CE0FD5" w:rsidRDefault="00DB33D9" w:rsidP="00E3543B">
            <w:pPr>
              <w:tabs>
                <w:tab w:val="center" w:pos="4362"/>
              </w:tabs>
              <w:rPr>
                <w:rFonts w:eastAsia="Times New Roman" w:cs="Times New Roman"/>
                <w:sz w:val="18"/>
                <w:szCs w:val="18"/>
                <w:lang w:eastAsia="es-ES"/>
              </w:rPr>
            </w:pPr>
          </w:p>
        </w:tc>
        <w:tc>
          <w:tcPr>
            <w:tcW w:w="1109" w:type="pct"/>
          </w:tcPr>
          <w:p w:rsidR="00DB33D9" w:rsidRPr="00CE0FD5" w:rsidRDefault="00DB33D9" w:rsidP="00391323">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Familias de agricultura familiar con niños menores de dos años de edad incrementan sus ingresos familiares para la prevención de la Desnutrición Crónica</w:t>
            </w:r>
          </w:p>
        </w:tc>
        <w:tc>
          <w:tcPr>
            <w:tcW w:w="41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E0FD5">
              <w:rPr>
                <w:rFonts w:eastAsia="Calibri" w:cs="Arial"/>
                <w:sz w:val="18"/>
                <w:szCs w:val="18"/>
              </w:rPr>
              <w:t>11,157</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11,157</w:t>
            </w:r>
          </w:p>
        </w:tc>
        <w:tc>
          <w:tcPr>
            <w:tcW w:w="624" w:type="pct"/>
          </w:tcPr>
          <w:p w:rsidR="00DB33D9" w:rsidRPr="00CE0FD5" w:rsidRDefault="00DB33D9" w:rsidP="00E3543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0</w:t>
            </w:r>
          </w:p>
        </w:tc>
        <w:tc>
          <w:tcPr>
            <w:tcW w:w="693"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5,688</w:t>
            </w:r>
          </w:p>
        </w:tc>
        <w:tc>
          <w:tcPr>
            <w:tcW w:w="556"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5,688</w:t>
            </w:r>
          </w:p>
        </w:tc>
        <w:tc>
          <w:tcPr>
            <w:tcW w:w="418" w:type="pct"/>
          </w:tcPr>
          <w:p w:rsidR="00DB33D9" w:rsidRPr="00CE0FD5" w:rsidRDefault="00DB33D9" w:rsidP="00E3543B">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s-ES"/>
              </w:rPr>
            </w:pPr>
            <w:r w:rsidRPr="00CE0FD5">
              <w:rPr>
                <w:rFonts w:eastAsia="Times New Roman" w:cs="Times New Roman"/>
                <w:sz w:val="18"/>
                <w:szCs w:val="18"/>
                <w:lang w:eastAsia="es-ES"/>
              </w:rPr>
              <w:t>50.98</w:t>
            </w:r>
          </w:p>
        </w:tc>
      </w:tr>
    </w:tbl>
    <w:p w:rsidR="00DB33D9" w:rsidRPr="007223FB" w:rsidRDefault="007D5B71" w:rsidP="00DB33D9">
      <w:pPr>
        <w:rPr>
          <w:b/>
          <w:lang w:val="es-ES" w:eastAsia="es-ES"/>
        </w:rPr>
      </w:pPr>
      <w:r w:rsidRPr="007223FB">
        <w:rPr>
          <w:bCs/>
          <w:iCs/>
          <w:color w:val="000000" w:themeColor="text1"/>
        </w:rPr>
        <w:t>Fuente: Elaboración SEGEPLAN</w:t>
      </w:r>
      <w:r w:rsidR="00DB33D9" w:rsidRPr="007223FB">
        <w:rPr>
          <w:bCs/>
          <w:iCs/>
          <w:color w:val="000000" w:themeColor="text1"/>
        </w:rPr>
        <w:t xml:space="preserve"> con datos de SIPLAN al 06/09/2019</w:t>
      </w:r>
    </w:p>
    <w:p w:rsidR="00DB33D9" w:rsidRPr="007223FB" w:rsidRDefault="00DB33D9" w:rsidP="00CE0FD5">
      <w:pPr>
        <w:spacing w:before="120" w:after="120" w:line="240" w:lineRule="auto"/>
        <w:rPr>
          <w:lang w:val="es-ES" w:eastAsia="es-ES"/>
        </w:rPr>
      </w:pPr>
      <w:r w:rsidRPr="007223FB">
        <w:rPr>
          <w:lang w:val="es-ES" w:eastAsia="es-ES"/>
        </w:rPr>
        <w:t>El Maga presenta un desafío grande para el tercer cuatrimestre ya que su ejecución en seis de los doce productos para el RE no presenta ejecución en el segundo cuatrimestre y en el acumulado, únicamente cuatro productos tienen ejecución que sobrepasa el 50% de su meta física.</w:t>
      </w:r>
    </w:p>
    <w:p w:rsidR="001D3711" w:rsidRPr="007223FB" w:rsidRDefault="00DB33D9" w:rsidP="00CE0FD5">
      <w:pPr>
        <w:spacing w:before="120" w:after="120" w:line="240" w:lineRule="auto"/>
        <w:rPr>
          <w:rFonts w:cs="Candara"/>
        </w:rPr>
      </w:pPr>
      <w:r w:rsidRPr="007223FB">
        <w:rPr>
          <w:rFonts w:cs="Candara"/>
        </w:rPr>
        <w:t>El M</w:t>
      </w:r>
      <w:r w:rsidR="00897F25" w:rsidRPr="007223FB">
        <w:rPr>
          <w:rFonts w:cs="Candara"/>
        </w:rPr>
        <w:t>inisterio de Educación</w:t>
      </w:r>
      <w:r w:rsidRPr="007223FB">
        <w:rPr>
          <w:rFonts w:cs="Candara"/>
        </w:rPr>
        <w:t>, a</w:t>
      </w:r>
      <w:r w:rsidR="001D3711" w:rsidRPr="007223FB">
        <w:rPr>
          <w:rFonts w:cs="Candara"/>
        </w:rPr>
        <w:t xml:space="preserve">unque no es el responsable directo, se vincula al mismo mediante intervenciones como “Escuelas saludables” y “Alimentación escolar” tanto </w:t>
      </w:r>
      <w:r w:rsidR="00F14894" w:rsidRPr="007223FB">
        <w:rPr>
          <w:rFonts w:cs="Candara"/>
        </w:rPr>
        <w:t>en</w:t>
      </w:r>
      <w:r w:rsidR="001D3711" w:rsidRPr="007223FB">
        <w:rPr>
          <w:rFonts w:cs="Candara"/>
        </w:rPr>
        <w:t xml:space="preserve"> preprimaria como primaria. Para dicho resultado programan tres productos </w:t>
      </w:r>
      <w:r w:rsidR="00F14894" w:rsidRPr="007223FB">
        <w:rPr>
          <w:rFonts w:cs="Candara"/>
        </w:rPr>
        <w:t>e</w:t>
      </w:r>
      <w:r w:rsidR="001D3711" w:rsidRPr="007223FB">
        <w:rPr>
          <w:rFonts w:cs="Candara"/>
        </w:rPr>
        <w:t xml:space="preserve"> igual número de subproductos, de los </w:t>
      </w:r>
      <w:r w:rsidR="001D3711" w:rsidRPr="007223FB">
        <w:rPr>
          <w:rFonts w:cs="Candara"/>
        </w:rPr>
        <w:lastRenderedPageBreak/>
        <w:t xml:space="preserve">cuales dos de ellos se refieren a entrega de alimentos, y el </w:t>
      </w:r>
      <w:r w:rsidR="00F14894" w:rsidRPr="007223FB">
        <w:rPr>
          <w:rFonts w:cs="Candara"/>
        </w:rPr>
        <w:t xml:space="preserve">tercero </w:t>
      </w:r>
      <w:r w:rsidR="001D3711" w:rsidRPr="007223FB">
        <w:rPr>
          <w:rFonts w:cs="Candara"/>
        </w:rPr>
        <w:t xml:space="preserve"> “Escuelas Saludables” reportan para el segundo cuatrimestre 77.23% de avance respectivamente.</w:t>
      </w:r>
    </w:p>
    <w:p w:rsidR="00197BB6" w:rsidRPr="007223FB" w:rsidRDefault="00197BB6" w:rsidP="00CE0FD5">
      <w:pPr>
        <w:autoSpaceDE w:val="0"/>
        <w:autoSpaceDN w:val="0"/>
        <w:adjustRightInd w:val="0"/>
        <w:spacing w:before="120" w:after="120" w:line="240" w:lineRule="auto"/>
        <w:ind w:right="-12"/>
        <w:rPr>
          <w:rFonts w:eastAsia="Candara" w:cs="Candara"/>
          <w:spacing w:val="-1"/>
        </w:rPr>
      </w:pPr>
      <w:r w:rsidRPr="007223FB">
        <w:rPr>
          <w:rFonts w:eastAsia="Candara" w:cs="Candara"/>
          <w:spacing w:val="-8"/>
        </w:rPr>
        <w:t xml:space="preserve">Mides en este resultado contribuye </w:t>
      </w:r>
      <w:r w:rsidR="00F14894" w:rsidRPr="007223FB">
        <w:rPr>
          <w:rFonts w:eastAsia="Candara" w:cs="Candara"/>
          <w:spacing w:val="-8"/>
        </w:rPr>
        <w:t>con</w:t>
      </w:r>
      <w:r w:rsidRPr="007223FB">
        <w:rPr>
          <w:rFonts w:eastAsia="Candara" w:cs="Candara"/>
          <w:spacing w:val="-8"/>
        </w:rPr>
        <w:t xml:space="preserve"> </w:t>
      </w:r>
      <w:r w:rsidRPr="007223FB">
        <w:rPr>
          <w:rFonts w:eastAsia="Candara" w:cs="Candara"/>
        </w:rPr>
        <w:t>el</w:t>
      </w:r>
      <w:r w:rsidRPr="007223FB">
        <w:rPr>
          <w:rFonts w:eastAsia="Candara" w:cs="Candara"/>
          <w:spacing w:val="-7"/>
        </w:rPr>
        <w:t xml:space="preserve"> </w:t>
      </w:r>
      <w:r w:rsidRPr="007223FB">
        <w:rPr>
          <w:rFonts w:eastAsia="Candara" w:cs="Candara"/>
        </w:rPr>
        <w:t>p</w:t>
      </w:r>
      <w:r w:rsidRPr="007223FB">
        <w:rPr>
          <w:rFonts w:eastAsia="Candara" w:cs="Candara"/>
          <w:spacing w:val="1"/>
        </w:rPr>
        <w:t>r</w:t>
      </w:r>
      <w:r w:rsidRPr="007223FB">
        <w:rPr>
          <w:rFonts w:eastAsia="Candara" w:cs="Candara"/>
          <w:spacing w:val="-1"/>
        </w:rPr>
        <w:t>og</w:t>
      </w:r>
      <w:r w:rsidRPr="007223FB">
        <w:rPr>
          <w:rFonts w:eastAsia="Candara" w:cs="Candara"/>
          <w:spacing w:val="1"/>
        </w:rPr>
        <w:t>r</w:t>
      </w:r>
      <w:r w:rsidRPr="007223FB">
        <w:rPr>
          <w:rFonts w:eastAsia="Candara" w:cs="Candara"/>
        </w:rPr>
        <w:t xml:space="preserve">ama </w:t>
      </w:r>
      <w:r w:rsidRPr="007223FB">
        <w:rPr>
          <w:rFonts w:eastAsia="Candara" w:cs="Candara"/>
          <w:spacing w:val="-1"/>
        </w:rPr>
        <w:t>“</w:t>
      </w:r>
      <w:r w:rsidRPr="007223FB">
        <w:rPr>
          <w:rFonts w:eastAsia="Candara" w:cs="Candara"/>
          <w:spacing w:val="1"/>
        </w:rPr>
        <w:t>A</w:t>
      </w:r>
      <w:r w:rsidRPr="007223FB">
        <w:rPr>
          <w:rFonts w:eastAsia="Candara" w:cs="Candara"/>
        </w:rPr>
        <w:t>p</w:t>
      </w:r>
      <w:r w:rsidRPr="007223FB">
        <w:rPr>
          <w:rFonts w:eastAsia="Candara" w:cs="Candara"/>
          <w:spacing w:val="-1"/>
        </w:rPr>
        <w:t>o</w:t>
      </w:r>
      <w:r w:rsidRPr="007223FB">
        <w:rPr>
          <w:rFonts w:eastAsia="Candara" w:cs="Candara"/>
          <w:spacing w:val="1"/>
        </w:rPr>
        <w:t>y</w:t>
      </w:r>
      <w:r w:rsidRPr="007223FB">
        <w:rPr>
          <w:rFonts w:eastAsia="Candara" w:cs="Candara"/>
        </w:rPr>
        <w:t>o</w:t>
      </w:r>
      <w:r w:rsidRPr="007223FB">
        <w:rPr>
          <w:rFonts w:eastAsia="Candara" w:cs="Candara"/>
          <w:spacing w:val="-10"/>
        </w:rPr>
        <w:t xml:space="preserve"> </w:t>
      </w:r>
      <w:r w:rsidRPr="007223FB">
        <w:rPr>
          <w:rFonts w:eastAsia="Candara" w:cs="Candara"/>
        </w:rPr>
        <w:t>pa</w:t>
      </w:r>
      <w:r w:rsidRPr="007223FB">
        <w:rPr>
          <w:rFonts w:eastAsia="Candara" w:cs="Candara"/>
          <w:spacing w:val="1"/>
        </w:rPr>
        <w:t>r</w:t>
      </w:r>
      <w:r w:rsidRPr="007223FB">
        <w:rPr>
          <w:rFonts w:eastAsia="Candara" w:cs="Candara"/>
        </w:rPr>
        <w:t>a</w:t>
      </w:r>
      <w:r w:rsidRPr="007223FB">
        <w:rPr>
          <w:rFonts w:eastAsia="Candara" w:cs="Candara"/>
          <w:spacing w:val="-9"/>
        </w:rPr>
        <w:t xml:space="preserve"> </w:t>
      </w:r>
      <w:r w:rsidRPr="007223FB">
        <w:rPr>
          <w:rFonts w:eastAsia="Candara" w:cs="Candara"/>
        </w:rPr>
        <w:t>el</w:t>
      </w:r>
      <w:r w:rsidRPr="007223FB">
        <w:rPr>
          <w:rFonts w:eastAsia="Candara" w:cs="Candara"/>
          <w:spacing w:val="-12"/>
        </w:rPr>
        <w:t xml:space="preserve"> </w:t>
      </w:r>
      <w:r w:rsidRPr="007223FB">
        <w:rPr>
          <w:rFonts w:eastAsia="Candara" w:cs="Candara"/>
          <w:spacing w:val="1"/>
        </w:rPr>
        <w:t>c</w:t>
      </w:r>
      <w:r w:rsidRPr="007223FB">
        <w:rPr>
          <w:rFonts w:eastAsia="Candara" w:cs="Candara"/>
          <w:spacing w:val="-1"/>
        </w:rPr>
        <w:t>o</w:t>
      </w:r>
      <w:r w:rsidRPr="007223FB">
        <w:rPr>
          <w:rFonts w:eastAsia="Candara" w:cs="Candara"/>
          <w:spacing w:val="-2"/>
        </w:rPr>
        <w:t>n</w:t>
      </w:r>
      <w:r w:rsidRPr="007223FB">
        <w:rPr>
          <w:rFonts w:eastAsia="Candara" w:cs="Candara"/>
          <w:spacing w:val="1"/>
        </w:rPr>
        <w:t>s</w:t>
      </w:r>
      <w:r w:rsidRPr="007223FB">
        <w:rPr>
          <w:rFonts w:eastAsia="Candara" w:cs="Candara"/>
        </w:rPr>
        <w:t>umo</w:t>
      </w:r>
      <w:r w:rsidRPr="007223FB">
        <w:rPr>
          <w:rFonts w:eastAsia="Candara" w:cs="Candara"/>
          <w:spacing w:val="-10"/>
        </w:rPr>
        <w:t xml:space="preserve"> </w:t>
      </w:r>
      <w:r w:rsidRPr="007223FB">
        <w:rPr>
          <w:rFonts w:eastAsia="Candara" w:cs="Candara"/>
          <w:spacing w:val="-2"/>
        </w:rPr>
        <w:t>a</w:t>
      </w:r>
      <w:r w:rsidRPr="007223FB">
        <w:rPr>
          <w:rFonts w:eastAsia="Candara" w:cs="Candara"/>
          <w:spacing w:val="1"/>
        </w:rPr>
        <w:t>d</w:t>
      </w:r>
      <w:r w:rsidRPr="007223FB">
        <w:rPr>
          <w:rFonts w:eastAsia="Candara" w:cs="Candara"/>
        </w:rPr>
        <w:t>e</w:t>
      </w:r>
      <w:r w:rsidRPr="007223FB">
        <w:rPr>
          <w:rFonts w:eastAsia="Candara" w:cs="Candara"/>
          <w:spacing w:val="1"/>
        </w:rPr>
        <w:t>c</w:t>
      </w:r>
      <w:r w:rsidRPr="007223FB">
        <w:rPr>
          <w:rFonts w:eastAsia="Candara" w:cs="Candara"/>
        </w:rPr>
        <w:t>u</w:t>
      </w:r>
      <w:r w:rsidRPr="007223FB">
        <w:rPr>
          <w:rFonts w:eastAsia="Candara" w:cs="Candara"/>
          <w:spacing w:val="-2"/>
        </w:rPr>
        <w:t>a</w:t>
      </w:r>
      <w:r w:rsidRPr="007223FB">
        <w:rPr>
          <w:rFonts w:eastAsia="Candara" w:cs="Candara"/>
          <w:spacing w:val="1"/>
        </w:rPr>
        <w:t>d</w:t>
      </w:r>
      <w:r w:rsidRPr="007223FB">
        <w:rPr>
          <w:rFonts w:eastAsia="Candara" w:cs="Candara"/>
        </w:rPr>
        <w:t>o</w:t>
      </w:r>
      <w:r w:rsidRPr="007223FB">
        <w:rPr>
          <w:rFonts w:eastAsia="Candara" w:cs="Candara"/>
          <w:spacing w:val="-10"/>
        </w:rPr>
        <w:t xml:space="preserve"> </w:t>
      </w:r>
      <w:r w:rsidRPr="007223FB">
        <w:rPr>
          <w:rFonts w:eastAsia="Candara" w:cs="Candara"/>
          <w:spacing w:val="1"/>
        </w:rPr>
        <w:t>d</w:t>
      </w:r>
      <w:r w:rsidRPr="007223FB">
        <w:rPr>
          <w:rFonts w:eastAsia="Candara" w:cs="Candara"/>
        </w:rPr>
        <w:t>e</w:t>
      </w:r>
      <w:r w:rsidRPr="007223FB">
        <w:rPr>
          <w:rFonts w:eastAsia="Candara" w:cs="Candara"/>
          <w:spacing w:val="-10"/>
        </w:rPr>
        <w:t xml:space="preserve"> </w:t>
      </w:r>
      <w:r w:rsidRPr="007223FB">
        <w:rPr>
          <w:rFonts w:eastAsia="Candara" w:cs="Candara"/>
        </w:rPr>
        <w:t>alim</w:t>
      </w:r>
      <w:r w:rsidRPr="007223FB">
        <w:rPr>
          <w:rFonts w:eastAsia="Candara" w:cs="Candara"/>
          <w:spacing w:val="-3"/>
        </w:rPr>
        <w:t>e</w:t>
      </w:r>
      <w:r w:rsidRPr="007223FB">
        <w:rPr>
          <w:rFonts w:eastAsia="Candara" w:cs="Candara"/>
          <w:spacing w:val="1"/>
        </w:rPr>
        <w:t>n</w:t>
      </w:r>
      <w:r w:rsidRPr="007223FB">
        <w:rPr>
          <w:rFonts w:eastAsia="Candara" w:cs="Candara"/>
        </w:rPr>
        <w:t>t</w:t>
      </w:r>
      <w:r w:rsidRPr="007223FB">
        <w:rPr>
          <w:rFonts w:eastAsia="Candara" w:cs="Candara"/>
          <w:spacing w:val="-1"/>
        </w:rPr>
        <w:t>o</w:t>
      </w:r>
      <w:r w:rsidRPr="007223FB">
        <w:rPr>
          <w:rFonts w:eastAsia="Candara" w:cs="Candara"/>
          <w:spacing w:val="1"/>
        </w:rPr>
        <w:t xml:space="preserve">s” (Programa 14) presenta </w:t>
      </w:r>
      <w:r w:rsidRPr="007223FB">
        <w:rPr>
          <w:rFonts w:eastAsia="Candara" w:cs="Candara"/>
        </w:rPr>
        <w:t>un</w:t>
      </w:r>
      <w:r w:rsidRPr="007223FB">
        <w:rPr>
          <w:rFonts w:eastAsia="Candara" w:cs="Candara"/>
          <w:spacing w:val="-9"/>
        </w:rPr>
        <w:t xml:space="preserve"> </w:t>
      </w:r>
      <w:r w:rsidRPr="007223FB">
        <w:rPr>
          <w:rFonts w:eastAsia="Candara" w:cs="Candara"/>
          <w:spacing w:val="-2"/>
        </w:rPr>
        <w:t>p</w:t>
      </w:r>
      <w:r w:rsidRPr="007223FB">
        <w:rPr>
          <w:rFonts w:eastAsia="Candara" w:cs="Candara"/>
          <w:spacing w:val="1"/>
        </w:rPr>
        <w:t>r</w:t>
      </w:r>
      <w:r w:rsidRPr="007223FB">
        <w:rPr>
          <w:rFonts w:eastAsia="Candara" w:cs="Candara"/>
        </w:rPr>
        <w:t>e</w:t>
      </w:r>
      <w:r w:rsidRPr="007223FB">
        <w:rPr>
          <w:rFonts w:eastAsia="Candara" w:cs="Candara"/>
          <w:spacing w:val="1"/>
        </w:rPr>
        <w:t>s</w:t>
      </w:r>
      <w:r w:rsidRPr="007223FB">
        <w:rPr>
          <w:rFonts w:eastAsia="Candara" w:cs="Candara"/>
        </w:rPr>
        <w:t>upu</w:t>
      </w:r>
      <w:r w:rsidRPr="007223FB">
        <w:rPr>
          <w:rFonts w:eastAsia="Candara" w:cs="Candara"/>
          <w:spacing w:val="-3"/>
        </w:rPr>
        <w:t>e</w:t>
      </w:r>
      <w:r w:rsidRPr="007223FB">
        <w:rPr>
          <w:rFonts w:eastAsia="Candara" w:cs="Candara"/>
          <w:spacing w:val="1"/>
        </w:rPr>
        <w:t>s</w:t>
      </w:r>
      <w:r w:rsidRPr="007223FB">
        <w:rPr>
          <w:rFonts w:eastAsia="Candara" w:cs="Candara"/>
        </w:rPr>
        <w:t>to inicial</w:t>
      </w:r>
      <w:r w:rsidRPr="007223FB">
        <w:rPr>
          <w:rFonts w:eastAsia="Candara" w:cs="Candara"/>
          <w:spacing w:val="-10"/>
        </w:rPr>
        <w:t xml:space="preserve"> </w:t>
      </w:r>
      <w:r w:rsidRPr="007223FB">
        <w:rPr>
          <w:rFonts w:eastAsia="Candara" w:cs="Candara"/>
          <w:spacing w:val="1"/>
        </w:rPr>
        <w:t>d</w:t>
      </w:r>
      <w:r w:rsidRPr="007223FB">
        <w:rPr>
          <w:rFonts w:eastAsia="Candara" w:cs="Candara"/>
        </w:rPr>
        <w:t>e</w:t>
      </w:r>
      <w:r w:rsidRPr="007223FB">
        <w:rPr>
          <w:rFonts w:eastAsia="Candara" w:cs="Candara"/>
          <w:spacing w:val="-10"/>
        </w:rPr>
        <w:t xml:space="preserve"> </w:t>
      </w:r>
      <w:r w:rsidRPr="007223FB">
        <w:rPr>
          <w:rFonts w:eastAsia="Candara" w:cs="Candara"/>
        </w:rPr>
        <w:t>Q</w:t>
      </w:r>
      <w:r w:rsidRPr="007223FB">
        <w:rPr>
          <w:rFonts w:eastAsia="Candara" w:cs="Candara"/>
          <w:spacing w:val="-11"/>
        </w:rPr>
        <w:t xml:space="preserve"> 87.6 </w:t>
      </w:r>
      <w:r w:rsidRPr="007223FB">
        <w:rPr>
          <w:rFonts w:eastAsia="Candara" w:cs="Candara"/>
        </w:rPr>
        <w:t>mill</w:t>
      </w:r>
      <w:r w:rsidRPr="007223FB">
        <w:rPr>
          <w:rFonts w:eastAsia="Candara" w:cs="Candara"/>
          <w:spacing w:val="-1"/>
        </w:rPr>
        <w:t>o</w:t>
      </w:r>
      <w:r w:rsidRPr="007223FB">
        <w:rPr>
          <w:rFonts w:eastAsia="Candara" w:cs="Candara"/>
          <w:spacing w:val="-2"/>
        </w:rPr>
        <w:t>n</w:t>
      </w:r>
      <w:r w:rsidRPr="007223FB">
        <w:rPr>
          <w:rFonts w:eastAsia="Candara" w:cs="Candara"/>
          <w:spacing w:val="-3"/>
        </w:rPr>
        <w:t>e</w:t>
      </w:r>
      <w:r w:rsidRPr="007223FB">
        <w:rPr>
          <w:rFonts w:eastAsia="Candara" w:cs="Candara"/>
        </w:rPr>
        <w:t>s y</w:t>
      </w:r>
      <w:r w:rsidRPr="007223FB">
        <w:rPr>
          <w:rFonts w:eastAsia="Candara" w:cs="Candara"/>
          <w:spacing w:val="1"/>
        </w:rPr>
        <w:t xml:space="preserve"> vigente de Q 127.2 millones, con un</w:t>
      </w:r>
      <w:r w:rsidRPr="007223FB">
        <w:rPr>
          <w:rFonts w:eastAsia="Candara" w:cs="Candara"/>
        </w:rPr>
        <w:t>a eje</w:t>
      </w:r>
      <w:r w:rsidRPr="007223FB">
        <w:rPr>
          <w:rFonts w:eastAsia="Candara" w:cs="Candara"/>
          <w:spacing w:val="1"/>
        </w:rPr>
        <w:t>c</w:t>
      </w:r>
      <w:r w:rsidRPr="007223FB">
        <w:rPr>
          <w:rFonts w:eastAsia="Candara" w:cs="Candara"/>
          <w:spacing w:val="-3"/>
        </w:rPr>
        <w:t>u</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presupuestaria </w:t>
      </w:r>
      <w:r w:rsidRPr="007223FB">
        <w:rPr>
          <w:rFonts w:eastAsia="Candara" w:cs="Candara"/>
        </w:rPr>
        <w:t>p</w:t>
      </w:r>
      <w:r w:rsidRPr="007223FB">
        <w:rPr>
          <w:rFonts w:eastAsia="Candara" w:cs="Candara"/>
          <w:spacing w:val="-2"/>
        </w:rPr>
        <w:t>a</w:t>
      </w:r>
      <w:r w:rsidRPr="007223FB">
        <w:rPr>
          <w:rFonts w:eastAsia="Candara" w:cs="Candara"/>
          <w:spacing w:val="1"/>
        </w:rPr>
        <w:t>r</w:t>
      </w:r>
      <w:r w:rsidRPr="007223FB">
        <w:rPr>
          <w:rFonts w:eastAsia="Candara" w:cs="Candara"/>
        </w:rPr>
        <w:t>a el</w:t>
      </w:r>
      <w:r w:rsidRPr="007223FB">
        <w:rPr>
          <w:rFonts w:eastAsia="Candara" w:cs="Candara"/>
          <w:spacing w:val="-2"/>
        </w:rPr>
        <w:t xml:space="preserve"> </w:t>
      </w:r>
      <w:r w:rsidRPr="007223FB">
        <w:rPr>
          <w:rFonts w:eastAsia="Candara" w:cs="Candara"/>
          <w:spacing w:val="1"/>
        </w:rPr>
        <w:t>c</w:t>
      </w:r>
      <w:r w:rsidRPr="007223FB">
        <w:rPr>
          <w:rFonts w:eastAsia="Candara" w:cs="Candara"/>
          <w:spacing w:val="-3"/>
        </w:rPr>
        <w:t>u</w:t>
      </w:r>
      <w:r w:rsidRPr="007223FB">
        <w:rPr>
          <w:rFonts w:eastAsia="Candara" w:cs="Candara"/>
        </w:rPr>
        <w:t>at</w:t>
      </w:r>
      <w:r w:rsidRPr="007223FB">
        <w:rPr>
          <w:rFonts w:eastAsia="Candara" w:cs="Candara"/>
          <w:spacing w:val="1"/>
        </w:rPr>
        <w:t>r</w:t>
      </w:r>
      <w:r w:rsidRPr="007223FB">
        <w:rPr>
          <w:rFonts w:eastAsia="Candara" w:cs="Candara"/>
        </w:rPr>
        <w:t>ime</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 xml:space="preserve">e </w:t>
      </w:r>
      <w:r w:rsidRPr="007223FB">
        <w:rPr>
          <w:rFonts w:eastAsia="Candara" w:cs="Candara"/>
          <w:spacing w:val="1"/>
        </w:rPr>
        <w:t>d</w:t>
      </w:r>
      <w:r w:rsidRPr="007223FB">
        <w:rPr>
          <w:rFonts w:eastAsia="Candara" w:cs="Candara"/>
        </w:rPr>
        <w:t>e</w:t>
      </w:r>
      <w:r w:rsidRPr="007223FB">
        <w:rPr>
          <w:rFonts w:eastAsia="Candara" w:cs="Candara"/>
          <w:spacing w:val="-2"/>
        </w:rPr>
        <w:t xml:space="preserve"> </w:t>
      </w:r>
      <w:r w:rsidRPr="007223FB">
        <w:rPr>
          <w:rFonts w:eastAsia="Candara" w:cs="Candara"/>
        </w:rPr>
        <w:t>Q</w:t>
      </w:r>
      <w:r w:rsidRPr="007223FB">
        <w:rPr>
          <w:rFonts w:eastAsia="Candara" w:cs="Candara"/>
          <w:spacing w:val="-1"/>
        </w:rPr>
        <w:t xml:space="preserve"> 59.1 millones equivalente al 46%y acumulada de Q 97.6 millones equivalente a 77%</w:t>
      </w:r>
      <w:r w:rsidRPr="007223FB">
        <w:rPr>
          <w:rFonts w:eastAsia="Candara" w:cs="Candara"/>
          <w:color w:val="000000" w:themeColor="text1"/>
        </w:rPr>
        <w:t>.  P</w:t>
      </w:r>
      <w:r w:rsidRPr="007223FB">
        <w:rPr>
          <w:rFonts w:eastAsia="Candara" w:cs="Candara"/>
          <w:color w:val="000000" w:themeColor="text1"/>
          <w:spacing w:val="2"/>
        </w:rPr>
        <w:t xml:space="preserve">resenta </w:t>
      </w:r>
      <w:r w:rsidRPr="007223FB">
        <w:rPr>
          <w:rFonts w:eastAsia="Candara" w:cs="Candara"/>
          <w:spacing w:val="-1"/>
        </w:rPr>
        <w:t>los productos siguientes: “Raciones de alimentos preparados entregados a personas que viven en condiciones de vulnerabilidad o crisis”, con ejecución física de 43.86% para el cuatrimestre y 74% acumulado.  “Transferencias monetarias condicionadas p</w:t>
      </w:r>
      <w:r w:rsidR="00F14894" w:rsidRPr="007223FB">
        <w:rPr>
          <w:rFonts w:eastAsia="Candara" w:cs="Candara"/>
          <w:spacing w:val="-1"/>
        </w:rPr>
        <w:t>ara alimentos entregado</w:t>
      </w:r>
      <w:r w:rsidRPr="007223FB">
        <w:rPr>
          <w:rFonts w:eastAsia="Candara" w:cs="Candara"/>
          <w:spacing w:val="-1"/>
        </w:rPr>
        <w:t>s a familias que viven en pobreza y pobreza extrema” con un avance físico de 53.6% para el cuatrimestre y 77. 19 %</w:t>
      </w:r>
      <w:r w:rsidR="00F14894" w:rsidRPr="007223FB">
        <w:rPr>
          <w:rFonts w:eastAsia="Candara" w:cs="Candara"/>
          <w:spacing w:val="-1"/>
        </w:rPr>
        <w:t xml:space="preserve"> </w:t>
      </w:r>
      <w:r w:rsidRPr="007223FB">
        <w:rPr>
          <w:rFonts w:eastAsia="Candara" w:cs="Candara"/>
          <w:spacing w:val="-1"/>
        </w:rPr>
        <w:t>acumulado.</w:t>
      </w:r>
    </w:p>
    <w:p w:rsidR="00792BC5" w:rsidRPr="00E73EEB" w:rsidRDefault="006F723D" w:rsidP="006F723D">
      <w:pPr>
        <w:pStyle w:val="Ttulo3"/>
        <w:numPr>
          <w:ilvl w:val="0"/>
          <w:numId w:val="0"/>
        </w:numPr>
        <w:tabs>
          <w:tab w:val="left" w:pos="1985"/>
        </w:tabs>
        <w:ind w:left="1560" w:hanging="709"/>
      </w:pPr>
      <w:bookmarkStart w:id="20" w:name="_Toc19527421"/>
      <w:r>
        <w:t>2.2.3</w:t>
      </w:r>
      <w:r>
        <w:tab/>
      </w:r>
      <w:r w:rsidR="00E461C5" w:rsidRPr="00E73EEB">
        <w:t>Para el 2019, se ha disminuido la mortalidad en la niñez en 10 puntos por cada mil nacidos vivos (De 35 muertes por mil nacidos vivos en 2015 a 25 muertes por mil nacidos vivos en 2019).</w:t>
      </w:r>
      <w:bookmarkEnd w:id="20"/>
    </w:p>
    <w:p w:rsidR="00792BC5" w:rsidRPr="007223FB" w:rsidRDefault="00792BC5" w:rsidP="00CE0FD5">
      <w:pPr>
        <w:spacing w:before="120" w:after="120" w:line="240" w:lineRule="auto"/>
        <w:rPr>
          <w:lang w:eastAsia="es-GT"/>
        </w:rPr>
      </w:pPr>
      <w:r w:rsidRPr="007223FB">
        <w:rPr>
          <w:lang w:eastAsia="es-GT"/>
        </w:rPr>
        <w:t xml:space="preserve">La mortalidad de la niñez presenta riesgo durante el periodo neonatal (los primeros 28 días de vida); para evitar las muertes es esencial un parto seguro y cuidado del neonato. Por consiguiente, el programa cuenta con Q 915.65 millones, una meta física </w:t>
      </w:r>
      <w:r w:rsidR="00130F6A" w:rsidRPr="007223FB">
        <w:rPr>
          <w:lang w:eastAsia="es-GT"/>
        </w:rPr>
        <w:t>vigente de 13, 239,552 millones</w:t>
      </w:r>
      <w:r w:rsidRPr="007223FB">
        <w:rPr>
          <w:lang w:eastAsia="es-GT"/>
        </w:rPr>
        <w:t xml:space="preserve">, para el segundo cuatrimestre se ha ejecutado el 31% del programa y un avance físico de 2, 581,081 millones. </w:t>
      </w:r>
    </w:p>
    <w:p w:rsidR="00792BC5" w:rsidRPr="007223FB" w:rsidRDefault="00792BC5" w:rsidP="00CE0FD5">
      <w:pPr>
        <w:spacing w:before="120" w:after="120" w:line="240" w:lineRule="auto"/>
        <w:rPr>
          <w:lang w:eastAsia="es-GT"/>
        </w:rPr>
      </w:pPr>
      <w:r w:rsidRPr="007223FB">
        <w:rPr>
          <w:lang w:eastAsia="es-GT"/>
        </w:rPr>
        <w:t xml:space="preserve">El ministerio enfatiza tres etapas de mortalidad en la niñez: neonatal, </w:t>
      </w:r>
      <w:r w:rsidR="003356F5" w:rsidRPr="007223FB">
        <w:rPr>
          <w:lang w:eastAsia="es-GT"/>
        </w:rPr>
        <w:t>pos-neonatal</w:t>
      </w:r>
      <w:r w:rsidRPr="007223FB">
        <w:rPr>
          <w:lang w:eastAsia="es-GT"/>
        </w:rPr>
        <w:t xml:space="preserve"> y menores de 5 años; las causas de mortalidad están relacionadas </w:t>
      </w:r>
      <w:r w:rsidR="00AD787E" w:rsidRPr="007223FB">
        <w:rPr>
          <w:lang w:eastAsia="es-GT"/>
        </w:rPr>
        <w:t>con</w:t>
      </w:r>
      <w:r w:rsidRPr="007223FB">
        <w:rPr>
          <w:lang w:eastAsia="es-GT"/>
        </w:rPr>
        <w:t xml:space="preserve"> la madre, neumonía o infecciones respiratorias agudas y diarreas. La respuesta del ministerio es la entrega del servicio de vacunación a niño (a)  menor de 1 año</w:t>
      </w:r>
      <w:r w:rsidR="00130F6A" w:rsidRPr="007223FB">
        <w:rPr>
          <w:lang w:eastAsia="es-GT"/>
        </w:rPr>
        <w:t>, el cual tiene</w:t>
      </w:r>
      <w:r w:rsidRPr="007223FB">
        <w:rPr>
          <w:lang w:eastAsia="es-GT"/>
        </w:rPr>
        <w:t xml:space="preserve"> </w:t>
      </w:r>
      <w:r w:rsidR="00130F6A" w:rsidRPr="007223FB">
        <w:rPr>
          <w:lang w:eastAsia="es-GT"/>
        </w:rPr>
        <w:t xml:space="preserve">el 58.11% con esquema completo de vacunación </w:t>
      </w:r>
      <w:r w:rsidRPr="007223FB">
        <w:rPr>
          <w:lang w:eastAsia="es-GT"/>
        </w:rPr>
        <w:t>y de 1 a 5 años, cuenta con un presupuesto de Q 309.12 millones y la meta física es de 1, 304,486 mil niños (a) vacunados, el costo del servicio equivale a Q 236.97 por niño (a); el ministerio ha ejecu</w:t>
      </w:r>
      <w:r w:rsidR="00130F6A" w:rsidRPr="007223FB">
        <w:rPr>
          <w:lang w:eastAsia="es-GT"/>
        </w:rPr>
        <w:t xml:space="preserve">tado el 30.26%. </w:t>
      </w:r>
    </w:p>
    <w:p w:rsidR="00792BC5" w:rsidRPr="007223FB" w:rsidRDefault="00792BC5" w:rsidP="00CE0FD5">
      <w:pPr>
        <w:spacing w:before="120" w:after="120" w:line="240" w:lineRule="auto"/>
        <w:rPr>
          <w:lang w:eastAsia="es-GT"/>
        </w:rPr>
      </w:pPr>
      <w:r w:rsidRPr="007223FB">
        <w:rPr>
          <w:lang w:eastAsia="es-GT"/>
        </w:rPr>
        <w:t>El producto de atención por infección respiratoria aguda a niño y niña menores de 5 años tiene el presupuesto Q 29.92 millones, que atiende a 1,082,810 niños (a), tiene una ejecución del 33.06%. Mientras, el producto de atención por enfermedades diarreicas aguda cuenta con monto de Q 21.43  para 449,813 niños (a) y tiene una ejecución de 28.42%.</w:t>
      </w:r>
    </w:p>
    <w:p w:rsidR="00792BC5" w:rsidRPr="007223FB" w:rsidRDefault="00792BC5" w:rsidP="00CE0FD5">
      <w:pPr>
        <w:spacing w:before="120" w:after="120" w:line="240" w:lineRule="auto"/>
        <w:rPr>
          <w:lang w:eastAsia="es-GT"/>
        </w:rPr>
      </w:pPr>
      <w:r w:rsidRPr="007223FB">
        <w:rPr>
          <w:lang w:eastAsia="es-GT"/>
        </w:rPr>
        <w:t>P</w:t>
      </w:r>
      <w:r w:rsidR="00942202" w:rsidRPr="007223FB">
        <w:rPr>
          <w:lang w:eastAsia="es-GT"/>
        </w:rPr>
        <w:t>ara que los niños y niñas tengan</w:t>
      </w:r>
      <w:r w:rsidRPr="007223FB">
        <w:rPr>
          <w:lang w:eastAsia="es-GT"/>
        </w:rPr>
        <w:t xml:space="preserve"> vidas sanas se debe garantizar su bienestar y evitar las muertes </w:t>
      </w:r>
      <w:r w:rsidR="00B50A64" w:rsidRPr="007223FB">
        <w:rPr>
          <w:lang w:eastAsia="es-GT"/>
        </w:rPr>
        <w:t>previsibles</w:t>
      </w:r>
      <w:r w:rsidRPr="007223FB">
        <w:rPr>
          <w:lang w:eastAsia="es-GT"/>
        </w:rPr>
        <w:t xml:space="preserve"> de recién nacidos y menores de 5 años. Los servicios de salud infantil deben orientarse a estrategias y optimizar la atención materna e infantil en los centros sanitarios con atención comunitaria, para captar mejor la población elegible. </w:t>
      </w:r>
    </w:p>
    <w:p w:rsidR="00E461C5" w:rsidRPr="00E73EEB" w:rsidRDefault="006F723D" w:rsidP="006F723D">
      <w:pPr>
        <w:pStyle w:val="Ttulo3"/>
        <w:numPr>
          <w:ilvl w:val="0"/>
          <w:numId w:val="0"/>
        </w:numPr>
        <w:tabs>
          <w:tab w:val="left" w:pos="1985"/>
        </w:tabs>
        <w:ind w:left="1560" w:hanging="709"/>
      </w:pPr>
      <w:bookmarkStart w:id="21" w:name="_Toc19527422"/>
      <w:r>
        <w:t>2.2.4</w:t>
      </w:r>
      <w:r>
        <w:tab/>
      </w:r>
      <w:r w:rsidR="00E461C5" w:rsidRPr="00E73EEB">
        <w:t>Para el 2019, se ha disminuido la razón de mortalidad materna en 20 puntos (De 113 muertes por cada cien mil nacidos vivos en 2013 a 93 muertes por cada cien mil nacidos vivos en 2019)</w:t>
      </w:r>
      <w:bookmarkEnd w:id="21"/>
    </w:p>
    <w:p w:rsidR="001D156F" w:rsidRPr="007223FB" w:rsidRDefault="001D156F" w:rsidP="00CE0FD5">
      <w:pPr>
        <w:spacing w:before="120" w:after="120" w:line="240" w:lineRule="auto"/>
        <w:rPr>
          <w:lang w:val="es-MX" w:eastAsia="es-GT"/>
        </w:rPr>
      </w:pPr>
      <w:r w:rsidRPr="007223FB">
        <w:rPr>
          <w:lang w:eastAsia="es-GT"/>
        </w:rPr>
        <w:t xml:space="preserve">Las </w:t>
      </w:r>
      <w:r w:rsidRPr="007223FB">
        <w:rPr>
          <w:lang w:val="es-MX" w:eastAsia="es-GT"/>
        </w:rPr>
        <w:t>mujeres embaraza</w:t>
      </w:r>
      <w:r w:rsidR="0039774A" w:rsidRPr="007223FB">
        <w:rPr>
          <w:lang w:val="es-MX" w:eastAsia="es-GT"/>
        </w:rPr>
        <w:t>das</w:t>
      </w:r>
      <w:r w:rsidRPr="007223FB">
        <w:rPr>
          <w:lang w:val="es-MX" w:eastAsia="es-GT"/>
        </w:rPr>
        <w:t xml:space="preserve"> que reciben 4 controles prenatales es el 47.60% han recibido vigilancia durante el embarazo y las mujeres atendidas durante el parto por personal calificado es el 59.86%. </w:t>
      </w:r>
    </w:p>
    <w:p w:rsidR="00792BC5" w:rsidRPr="007223FB" w:rsidRDefault="00792BC5" w:rsidP="00CE0FD5">
      <w:pPr>
        <w:spacing w:before="120" w:after="120" w:line="240" w:lineRule="auto"/>
        <w:rPr>
          <w:lang w:val="es-MX" w:eastAsia="es-GT"/>
        </w:rPr>
      </w:pPr>
      <w:r w:rsidRPr="007223FB">
        <w:rPr>
          <w:lang w:val="es-MX" w:eastAsia="es-GT"/>
        </w:rPr>
        <w:t>Los productos entregables como la atención prenatal y parto, y la alimentación completarían para el embarazo y lactancia, suman una meta vigente de 606,033 mujeres; el avance acumulado en el segundo cuatrimestre es de 244,594 mujeres atendidas, el presupuesto es de Q 294.15 millones con un recorte de Q 30.32 millones, la ejecución de los productos es de 28.18% en el segundo cuatrimestre.</w:t>
      </w:r>
    </w:p>
    <w:p w:rsidR="00792BC5" w:rsidRPr="007223FB" w:rsidRDefault="00792BC5" w:rsidP="00CE0FD5">
      <w:pPr>
        <w:spacing w:before="120" w:after="120" w:line="240" w:lineRule="auto"/>
        <w:rPr>
          <w:lang w:val="es-MX" w:eastAsia="es-GT"/>
        </w:rPr>
      </w:pPr>
      <w:r w:rsidRPr="007223FB">
        <w:rPr>
          <w:lang w:val="es-MX" w:eastAsia="es-GT"/>
        </w:rPr>
        <w:t xml:space="preserve">Otro producto, es el acceso a métodos </w:t>
      </w:r>
      <w:r w:rsidR="0015792C" w:rsidRPr="007223FB">
        <w:rPr>
          <w:lang w:val="es-MX" w:eastAsia="es-GT"/>
        </w:rPr>
        <w:t xml:space="preserve">de </w:t>
      </w:r>
      <w:r w:rsidRPr="007223FB">
        <w:rPr>
          <w:lang w:val="es-MX" w:eastAsia="es-GT"/>
        </w:rPr>
        <w:t>planificación familiar tiene una meta física de 1, 587,908 personas con un pre</w:t>
      </w:r>
      <w:r w:rsidR="001D156F" w:rsidRPr="007223FB">
        <w:rPr>
          <w:lang w:val="es-MX" w:eastAsia="es-GT"/>
        </w:rPr>
        <w:t>supuesto de Q 64.72 millones pero con</w:t>
      </w:r>
      <w:r w:rsidRPr="007223FB">
        <w:rPr>
          <w:lang w:val="es-MX" w:eastAsia="es-GT"/>
        </w:rPr>
        <w:t xml:space="preserve"> recorte de Q 9.54 millones, la ejecución </w:t>
      </w:r>
      <w:r w:rsidRPr="007223FB">
        <w:rPr>
          <w:lang w:val="es-MX" w:eastAsia="es-GT"/>
        </w:rPr>
        <w:lastRenderedPageBreak/>
        <w:t>equivale a 16.72%. El problema de mortalidad materna depende e</w:t>
      </w:r>
      <w:r w:rsidR="0015792C" w:rsidRPr="007223FB">
        <w:rPr>
          <w:lang w:val="es-MX" w:eastAsia="es-GT"/>
        </w:rPr>
        <w:t>n</w:t>
      </w:r>
      <w:r w:rsidRPr="007223FB">
        <w:rPr>
          <w:lang w:val="es-MX" w:eastAsia="es-GT"/>
        </w:rPr>
        <w:t xml:space="preserve"> gran medida de la falta de planificación familiar, como resultado reducen el número de embarazos no planificados, sobre todo, estos métodos deben ser accesibles a todos los sectores de la población. </w:t>
      </w:r>
    </w:p>
    <w:p w:rsidR="00792BC5" w:rsidRPr="007223FB" w:rsidRDefault="00792BC5" w:rsidP="00CE0FD5">
      <w:pPr>
        <w:spacing w:before="120" w:after="120" w:line="240" w:lineRule="auto"/>
        <w:rPr>
          <w:lang w:eastAsia="es-GT"/>
        </w:rPr>
      </w:pPr>
      <w:r w:rsidRPr="007223FB">
        <w:rPr>
          <w:lang w:val="es-MX" w:eastAsia="es-GT"/>
        </w:rPr>
        <w:t xml:space="preserve">Los programas actuales carecen </w:t>
      </w:r>
      <w:r w:rsidR="00F43317" w:rsidRPr="007223FB">
        <w:rPr>
          <w:lang w:val="es-MX" w:eastAsia="es-GT"/>
        </w:rPr>
        <w:t>de una estructura integral de atención a</w:t>
      </w:r>
      <w:r w:rsidRPr="007223FB">
        <w:rPr>
          <w:lang w:val="es-MX" w:eastAsia="es-GT"/>
        </w:rPr>
        <w:t xml:space="preserve"> la mujer, </w:t>
      </w:r>
      <w:r w:rsidR="00F43317" w:rsidRPr="007223FB">
        <w:rPr>
          <w:lang w:val="es-MX" w:eastAsia="es-GT"/>
        </w:rPr>
        <w:t>para</w:t>
      </w:r>
      <w:r w:rsidRPr="007223FB">
        <w:rPr>
          <w:lang w:val="es-MX" w:eastAsia="es-GT"/>
        </w:rPr>
        <w:t xml:space="preserve"> evitar las situaciones de riesgo, falta por definir de manera integral la etapa preconcepcional, prenatal, parto, postparto y atención de violencia sexual.</w:t>
      </w:r>
    </w:p>
    <w:p w:rsidR="00E461C5" w:rsidRPr="00E73EEB" w:rsidRDefault="006F723D" w:rsidP="006F723D">
      <w:pPr>
        <w:pStyle w:val="Ttulo3"/>
        <w:numPr>
          <w:ilvl w:val="0"/>
          <w:numId w:val="0"/>
        </w:numPr>
        <w:tabs>
          <w:tab w:val="left" w:pos="1985"/>
        </w:tabs>
        <w:ind w:left="1560" w:hanging="709"/>
      </w:pPr>
      <w:bookmarkStart w:id="22" w:name="_Toc19527423"/>
      <w:r>
        <w:t>2.2.5</w:t>
      </w:r>
      <w:r>
        <w:tab/>
      </w:r>
      <w:r w:rsidR="00E461C5" w:rsidRPr="00E73EEB">
        <w:t>En 2019, la cobertura en educación primaria se incrementó en 6 puntos porcentuales. Línea de base 82% en 2014.  Meta 88% 2019.</w:t>
      </w:r>
      <w:bookmarkEnd w:id="22"/>
    </w:p>
    <w:p w:rsidR="001D3711" w:rsidRPr="007223FB" w:rsidRDefault="00801C13" w:rsidP="00CE0FD5">
      <w:pPr>
        <w:autoSpaceDE w:val="0"/>
        <w:autoSpaceDN w:val="0"/>
        <w:adjustRightInd w:val="0"/>
        <w:spacing w:before="120" w:after="120" w:line="240" w:lineRule="auto"/>
        <w:rPr>
          <w:rFonts w:cs="Candara"/>
        </w:rPr>
      </w:pPr>
      <w:r w:rsidRPr="007223FB">
        <w:rPr>
          <w:rFonts w:cs="Candara"/>
        </w:rPr>
        <w:t xml:space="preserve">En </w:t>
      </w:r>
      <w:r w:rsidR="001D3711" w:rsidRPr="007223FB">
        <w:rPr>
          <w:rFonts w:cs="Candara"/>
        </w:rPr>
        <w:t>este resultado el Mineduc ha definido la población a atender en 2</w:t>
      </w:r>
      <w:r w:rsidR="006C0636" w:rsidRPr="007223FB">
        <w:rPr>
          <w:rFonts w:cs="Candara"/>
        </w:rPr>
        <w:t>, 066,645</w:t>
      </w:r>
      <w:r w:rsidR="001D3711" w:rsidRPr="007223FB">
        <w:rPr>
          <w:rFonts w:cs="Candara"/>
        </w:rPr>
        <w:t xml:space="preserve"> niños. La respuesta a esta meta la </w:t>
      </w:r>
      <w:r w:rsidRPr="007223FB">
        <w:rPr>
          <w:rFonts w:cs="Candara"/>
        </w:rPr>
        <w:t>establece,</w:t>
      </w:r>
      <w:r w:rsidR="001D3711" w:rsidRPr="007223FB">
        <w:rPr>
          <w:rFonts w:cs="Candara"/>
        </w:rPr>
        <w:t xml:space="preserve"> la atención al estudiante en primaria monolingüe urbana, rural, y bilingüe, los cual</w:t>
      </w:r>
      <w:r w:rsidR="00F2620F" w:rsidRPr="007223FB">
        <w:rPr>
          <w:rFonts w:cs="Candara"/>
        </w:rPr>
        <w:t>es</w:t>
      </w:r>
      <w:r w:rsidR="009F0F25" w:rsidRPr="007223FB">
        <w:rPr>
          <w:rFonts w:cs="Candara"/>
        </w:rPr>
        <w:t xml:space="preserve"> registran de 10% a</w:t>
      </w:r>
      <w:r w:rsidR="001D3711" w:rsidRPr="007223FB">
        <w:rPr>
          <w:rFonts w:cs="Candara"/>
        </w:rPr>
        <w:t xml:space="preserve"> 15% de avance.</w:t>
      </w:r>
    </w:p>
    <w:p w:rsidR="00197BB6" w:rsidRPr="007223FB" w:rsidRDefault="00197BB6" w:rsidP="00CE0FD5">
      <w:pPr>
        <w:tabs>
          <w:tab w:val="left" w:pos="5245"/>
        </w:tabs>
        <w:spacing w:before="120" w:after="120" w:line="240" w:lineRule="auto"/>
        <w:ind w:right="-12"/>
        <w:rPr>
          <w:rFonts w:eastAsia="Candara" w:cs="Candara"/>
          <w:spacing w:val="3"/>
        </w:rPr>
      </w:pPr>
      <w:r w:rsidRPr="007223FB">
        <w:rPr>
          <w:rFonts w:eastAsia="Candara" w:cs="Candara"/>
          <w:spacing w:val="-1"/>
        </w:rPr>
        <w:t>Mides para este resultado cuenta c</w:t>
      </w:r>
      <w:r w:rsidRPr="007223FB">
        <w:rPr>
          <w:rFonts w:eastAsia="Candara" w:cs="Candara"/>
          <w:spacing w:val="1"/>
        </w:rPr>
        <w:t>on</w:t>
      </w:r>
      <w:r w:rsidRPr="007223FB">
        <w:rPr>
          <w:rFonts w:eastAsia="Candara" w:cs="Candara"/>
          <w:spacing w:val="4"/>
        </w:rPr>
        <w:t xml:space="preserve"> </w:t>
      </w:r>
      <w:r w:rsidRPr="007223FB">
        <w:rPr>
          <w:rFonts w:eastAsia="Candara" w:cs="Candara"/>
        </w:rPr>
        <w:t>u</w:t>
      </w:r>
      <w:r w:rsidRPr="007223FB">
        <w:rPr>
          <w:rFonts w:eastAsia="Candara" w:cs="Candara"/>
          <w:spacing w:val="1"/>
        </w:rPr>
        <w:t>n</w:t>
      </w:r>
      <w:r w:rsidRPr="007223FB">
        <w:rPr>
          <w:rFonts w:eastAsia="Candara" w:cs="Candara"/>
        </w:rPr>
        <w:t>a</w:t>
      </w:r>
      <w:r w:rsidRPr="007223FB">
        <w:rPr>
          <w:rFonts w:eastAsia="Candara" w:cs="Candara"/>
          <w:spacing w:val="3"/>
        </w:rPr>
        <w:t xml:space="preserve"> </w:t>
      </w:r>
      <w:r w:rsidRPr="007223FB">
        <w:rPr>
          <w:rFonts w:eastAsia="Candara" w:cs="Candara"/>
          <w:spacing w:val="-2"/>
        </w:rPr>
        <w:t>a</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spacing w:val="1"/>
        </w:rPr>
        <w:t>n</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1"/>
        </w:rPr>
        <w:t>ó</w:t>
      </w:r>
      <w:r w:rsidRPr="007223FB">
        <w:rPr>
          <w:rFonts w:eastAsia="Candara" w:cs="Candara"/>
        </w:rPr>
        <w:t>n</w:t>
      </w:r>
      <w:r w:rsidRPr="007223FB">
        <w:rPr>
          <w:rFonts w:eastAsia="Candara" w:cs="Candara"/>
          <w:spacing w:val="1"/>
        </w:rPr>
        <w:t xml:space="preserve"> </w:t>
      </w:r>
      <w:r w:rsidRPr="007223FB">
        <w:rPr>
          <w:rFonts w:eastAsia="Candara" w:cs="Candara"/>
        </w:rPr>
        <w:t>f</w:t>
      </w:r>
      <w:r w:rsidRPr="007223FB">
        <w:rPr>
          <w:rFonts w:eastAsia="Candara" w:cs="Candara"/>
          <w:spacing w:val="-2"/>
        </w:rPr>
        <w:t>i</w:t>
      </w:r>
      <w:r w:rsidRPr="007223FB">
        <w:rPr>
          <w:rFonts w:eastAsia="Candara" w:cs="Candara"/>
          <w:spacing w:val="1"/>
        </w:rPr>
        <w:t>n</w:t>
      </w:r>
      <w:r w:rsidRPr="007223FB">
        <w:rPr>
          <w:rFonts w:eastAsia="Candara" w:cs="Candara"/>
        </w:rPr>
        <w:t>a</w:t>
      </w:r>
      <w:r w:rsidRPr="007223FB">
        <w:rPr>
          <w:rFonts w:eastAsia="Candara" w:cs="Candara"/>
          <w:spacing w:val="-2"/>
        </w:rPr>
        <w:t>n</w:t>
      </w:r>
      <w:r w:rsidRPr="007223FB">
        <w:rPr>
          <w:rFonts w:eastAsia="Candara" w:cs="Candara"/>
          <w:spacing w:val="1"/>
        </w:rPr>
        <w:t>c</w:t>
      </w:r>
      <w:r w:rsidRPr="007223FB">
        <w:rPr>
          <w:rFonts w:eastAsia="Candara" w:cs="Candara"/>
        </w:rPr>
        <w:t>ie</w:t>
      </w:r>
      <w:r w:rsidRPr="007223FB">
        <w:rPr>
          <w:rFonts w:eastAsia="Candara" w:cs="Candara"/>
          <w:spacing w:val="1"/>
        </w:rPr>
        <w:t>r</w:t>
      </w:r>
      <w:r w:rsidRPr="007223FB">
        <w:rPr>
          <w:rFonts w:eastAsia="Candara" w:cs="Candara"/>
        </w:rPr>
        <w:t>a</w:t>
      </w:r>
      <w:r w:rsidRPr="007223FB">
        <w:rPr>
          <w:rFonts w:eastAsia="Candara" w:cs="Candara"/>
          <w:spacing w:val="3"/>
        </w:rPr>
        <w:t xml:space="preserve"> inicial de Q 352.8 millones y vigente de Q 354.3 millones con una ejecución para el cuatrimestre de Q 95.1 millones equivalente a 26% y acumulada de Q 97.6 millones correspondiente a 77%.  Lo anterior se visualiza en el producto “Transferencias monetarias condicionadas entregadas a familias con niños y niñas entre 6 y 15 años que asisten a la escuela” con un avance en metas físicas correspondiente a 26% para el cuatrimestre y 53% acumulado.   El producto “Transferencias monetarias para familias con niñas y adolescentes de 10 a 14 años que asisten a la escuela” presenta avance físico para el cuatrimestre equivalente a 33% para el cuatrimestre y 84% acumulado.</w:t>
      </w:r>
    </w:p>
    <w:p w:rsidR="00792BC5" w:rsidRPr="00E73EEB" w:rsidRDefault="006F723D" w:rsidP="006F723D">
      <w:pPr>
        <w:pStyle w:val="Ttulo3"/>
        <w:numPr>
          <w:ilvl w:val="0"/>
          <w:numId w:val="0"/>
        </w:numPr>
        <w:tabs>
          <w:tab w:val="left" w:pos="1985"/>
        </w:tabs>
        <w:ind w:left="1560" w:hanging="709"/>
      </w:pPr>
      <w:bookmarkStart w:id="23" w:name="_Toc19527424"/>
      <w:r>
        <w:t>2.2.6</w:t>
      </w:r>
      <w:r>
        <w:tab/>
      </w:r>
      <w:r w:rsidR="00E461C5" w:rsidRPr="00E73EEB">
        <w:t>Para el 2019, se ha incrementado la cobertura de educación preprimaria en 12 puntos porcentuales (De 47.3% en 2014 a 59.3% en 2019).</w:t>
      </w:r>
      <w:bookmarkEnd w:id="23"/>
      <w:r w:rsidR="00E461C5" w:rsidRPr="00E73EEB">
        <w:t xml:space="preserve"> </w:t>
      </w:r>
    </w:p>
    <w:p w:rsidR="001D3711" w:rsidRPr="007223FB" w:rsidRDefault="001D3711" w:rsidP="00CE0FD5">
      <w:pPr>
        <w:autoSpaceDE w:val="0"/>
        <w:autoSpaceDN w:val="0"/>
        <w:adjustRightInd w:val="0"/>
        <w:spacing w:before="120" w:after="120" w:line="240" w:lineRule="auto"/>
        <w:rPr>
          <w:rFonts w:cs="Candara"/>
        </w:rPr>
      </w:pPr>
      <w:r w:rsidRPr="007223FB">
        <w:rPr>
          <w:rFonts w:cs="Candara"/>
        </w:rPr>
        <w:t>Para este resultado, el Mineduc ha  defini</w:t>
      </w:r>
      <w:r w:rsidR="009F0F25" w:rsidRPr="007223FB">
        <w:rPr>
          <w:rFonts w:cs="Candara"/>
        </w:rPr>
        <w:t>do</w:t>
      </w:r>
      <w:r w:rsidRPr="007223FB">
        <w:rPr>
          <w:rFonts w:cs="Candara"/>
        </w:rPr>
        <w:t xml:space="preserve"> una población objetivo de niños que actualmente asisten al sistema, la meta es de 431,981 niños al concluir el ejercicio fiscal 2019; para el efecto ha programado cuatro productos y ocho subproductos, de los cuales dos presentan avances significativos: “Docentes profesionalizados” y “Establecimientos con gratuidad”.</w:t>
      </w:r>
    </w:p>
    <w:p w:rsidR="00E461C5" w:rsidRPr="00E73EEB" w:rsidRDefault="006F723D" w:rsidP="006F723D">
      <w:pPr>
        <w:pStyle w:val="Ttulo3"/>
        <w:numPr>
          <w:ilvl w:val="0"/>
          <w:numId w:val="0"/>
        </w:numPr>
        <w:tabs>
          <w:tab w:val="left" w:pos="1985"/>
        </w:tabs>
        <w:ind w:left="1560" w:hanging="709"/>
      </w:pPr>
      <w:bookmarkStart w:id="24" w:name="_Toc19527425"/>
      <w:r>
        <w:t>2.2.7</w:t>
      </w:r>
      <w:r>
        <w:tab/>
      </w:r>
      <w:r w:rsidR="00E461C5" w:rsidRPr="00E73EEB">
        <w:t>Para el 2019, se ha incrementado la tasa de finalización en primaria en 7.1 puntos porcentuales (de 71.7 en 2013 a 78.8 en 2019).</w:t>
      </w:r>
      <w:bookmarkEnd w:id="24"/>
      <w:r w:rsidR="00E461C5" w:rsidRPr="00E73EEB">
        <w:t xml:space="preserve"> </w:t>
      </w:r>
    </w:p>
    <w:p w:rsidR="00792BC5" w:rsidRPr="007223FB" w:rsidRDefault="001D3711" w:rsidP="00CE0FD5">
      <w:pPr>
        <w:spacing w:before="120" w:after="120" w:line="240" w:lineRule="auto"/>
        <w:rPr>
          <w:rFonts w:cs="Candara"/>
        </w:rPr>
      </w:pPr>
      <w:r w:rsidRPr="007223FB">
        <w:rPr>
          <w:rFonts w:cs="Candara"/>
        </w:rPr>
        <w:t xml:space="preserve">Para este resultado el Mineduc no reporta producción vinculada que responda al mismo.  </w:t>
      </w:r>
    </w:p>
    <w:p w:rsidR="00A204A4" w:rsidRPr="007223FB" w:rsidRDefault="00A77F4A" w:rsidP="000B07D9">
      <w:pPr>
        <w:pStyle w:val="Ttulo2"/>
        <w:numPr>
          <w:ilvl w:val="1"/>
          <w:numId w:val="6"/>
        </w:numPr>
        <w:spacing w:before="120" w:after="120" w:line="240" w:lineRule="auto"/>
        <w:ind w:left="851"/>
        <w:rPr>
          <w:szCs w:val="22"/>
        </w:rPr>
      </w:pPr>
      <w:bookmarkStart w:id="25" w:name="_Toc19527426"/>
      <w:r w:rsidRPr="007223FB">
        <w:rPr>
          <w:szCs w:val="22"/>
        </w:rPr>
        <w:t>Fomento de las Mipymes, turismo, vivienda y trabajo digno y decente</w:t>
      </w:r>
      <w:bookmarkEnd w:id="25"/>
    </w:p>
    <w:p w:rsidR="00E461C5" w:rsidRPr="006F723D" w:rsidRDefault="006F723D" w:rsidP="006F723D">
      <w:pPr>
        <w:pStyle w:val="Ttulo3"/>
        <w:numPr>
          <w:ilvl w:val="0"/>
          <w:numId w:val="0"/>
        </w:numPr>
        <w:tabs>
          <w:tab w:val="left" w:pos="1985"/>
        </w:tabs>
        <w:ind w:left="1560" w:hanging="709"/>
      </w:pPr>
      <w:bookmarkStart w:id="26" w:name="_Toc19527427"/>
      <w:r>
        <w:t>2.3.1</w:t>
      </w:r>
      <w:r>
        <w:tab/>
      </w:r>
      <w:r w:rsidR="00E461C5" w:rsidRPr="006F723D">
        <w:t>En 2019, la posición de país en el Índice de Competitividad Turística ascendió en 10 Posiciones. Línea base: posición 80 (2015. Foro Económico Mundial). Meta: posición 70 (2019).</w:t>
      </w:r>
      <w:bookmarkEnd w:id="26"/>
      <w:r w:rsidR="00E461C5" w:rsidRPr="006F723D">
        <w:t xml:space="preserve">  </w:t>
      </w:r>
    </w:p>
    <w:p w:rsidR="00C62F50" w:rsidRPr="007223FB" w:rsidRDefault="00C62F50" w:rsidP="00CE0FD5">
      <w:pPr>
        <w:spacing w:before="120" w:after="120" w:line="240" w:lineRule="auto"/>
        <w:rPr>
          <w:rFonts w:eastAsia="Calibri" w:cs="Arial"/>
          <w:lang w:val="es-MX"/>
        </w:rPr>
      </w:pPr>
      <w:r w:rsidRPr="007223FB">
        <w:rPr>
          <w:rFonts w:eastAsia="Calibri" w:cs="Arial"/>
          <w:lang w:val="es-MX"/>
        </w:rPr>
        <w:t xml:space="preserve">El Instituto Guatemalteco de Turismo (INGUAT) es la entidad rectora del turismo en Guatemala, responsable de la promoción del país y fomento </w:t>
      </w:r>
      <w:r w:rsidR="00CF5C28" w:rsidRPr="007223FB">
        <w:rPr>
          <w:rFonts w:eastAsia="Calibri" w:cs="Arial"/>
          <w:lang w:val="es-MX"/>
        </w:rPr>
        <w:t>del turismo interno y receptivo.</w:t>
      </w:r>
      <w:r w:rsidRPr="007223FB">
        <w:rPr>
          <w:rFonts w:eastAsia="Calibri" w:cs="Arial"/>
          <w:lang w:val="es-MX"/>
        </w:rPr>
        <w:t xml:space="preserve"> </w:t>
      </w:r>
      <w:r w:rsidR="00CF5C28" w:rsidRPr="007223FB">
        <w:rPr>
          <w:rFonts w:eastAsia="Calibri" w:cs="Arial"/>
          <w:lang w:val="es-MX"/>
        </w:rPr>
        <w:t>M</w:t>
      </w:r>
      <w:r w:rsidRPr="007223FB">
        <w:rPr>
          <w:rFonts w:eastAsia="Calibri" w:cs="Arial"/>
          <w:lang w:val="es-MX"/>
        </w:rPr>
        <w:t xml:space="preserve">ejora la oferta de servicios turístico a través del desarrollo y crecimiento de otras industrias como hotelería, agencia de viajes, capacitación de profesionales en turismo, asistencia al turista y otros, prioriza posicionar el producto turístico como fuente de riqueza, contribuir al desarrollo económico, social y reducción de la pobreza. </w:t>
      </w:r>
    </w:p>
    <w:p w:rsidR="00C62F50" w:rsidRPr="007223FB" w:rsidRDefault="00C62F50" w:rsidP="00CE0FD5">
      <w:pPr>
        <w:spacing w:before="120" w:after="120" w:line="240" w:lineRule="auto"/>
        <w:rPr>
          <w:rFonts w:eastAsia="Calibri" w:cs="Arial"/>
          <w:lang w:val="es-MX"/>
        </w:rPr>
      </w:pPr>
      <w:r w:rsidRPr="007223FB">
        <w:rPr>
          <w:rFonts w:eastAsia="Calibri" w:cs="Arial"/>
          <w:lang w:val="es-MX"/>
        </w:rPr>
        <w:t xml:space="preserve">El Inguat es el ente responsable y coordinador de la meta de país: “Para el 2019, Guatemala mantiene el valor de 3.5, obtenido en la edición 2017, del índice de Competitividad Turística del Foro Económico Mundial”, como parte del eje de desarrollo y prioridad sobre fomento al turismo, para </w:t>
      </w:r>
      <w:r w:rsidRPr="007223FB">
        <w:rPr>
          <w:rFonts w:eastAsia="Calibri" w:cs="Arial"/>
          <w:lang w:val="es-MX"/>
        </w:rPr>
        <w:lastRenderedPageBreak/>
        <w:t xml:space="preserve">lo cual ha vinculado los productos: 1) Asistencia técnica en legislación turística a personas jurídicas e individuales, con una meta inicial de 10,800, vigente de 11,000, avance físico de 3,134 y 28.49% de ejecución, acumulado de 75.32% que se alcanza sobre una meta aumentada. 2) personas jurídicas e individuales capacitadas en temas turísticos, meta inicial de 8,050, vigente de 8,050, avance físico de 2,760 y 34.29% de ejecución, acumulado de 48.39%. 3) Personas jurídicas e individuales con distintivo de calidad turística, meta inicial de 55, vigente de 55, no refleja avance de ejecución física, muestra el 4.32% de ejecución financiera. 4) Señalización turística en beneficio de visitantes nacionales e internacionales, meta inicial de 174, vigente de 408, avance físico de 8 y 1.96% de ejecución, acumulado de 30.64%. 5) Personas individuales y jurídicas beneficiadas con actividades para la conservación del patrimonio, meta inicial de 40 eventos, vigente de 49, avance físico de 16 y 32.65% de ejecución, acumulado de 48.98%.  </w:t>
      </w:r>
    </w:p>
    <w:p w:rsidR="00CF5C28" w:rsidRPr="007223FB" w:rsidRDefault="00627FA1" w:rsidP="00CE0FD5">
      <w:pPr>
        <w:spacing w:before="120" w:after="120" w:line="240" w:lineRule="auto"/>
        <w:rPr>
          <w:rFonts w:cs="Arial"/>
        </w:rPr>
      </w:pPr>
      <w:r w:rsidRPr="007223FB">
        <w:rPr>
          <w:rFonts w:cs="Arial"/>
        </w:rPr>
        <w:t xml:space="preserve">El Ministerio de Economía contribuye a mejorar las condiciones de vida de los guatemaltecos mediante la formulación y ejecución dentro del marco jurídico vigente, las políticas de protección al consumidor, fomentar la inversión y el desarrollo de las micro, medianas y pequeñas empresas que estimulen el intercambio comercial, inversión nacional y extranjera, negociaciones comerciales, coordinación sobre las normas técnicas y de calidad de la producción nacional, fomento de la competencia, fortalecimiento e incremento de la competitividad del país. </w:t>
      </w:r>
    </w:p>
    <w:p w:rsidR="00627FA1" w:rsidRPr="007223FB" w:rsidRDefault="00627FA1" w:rsidP="00CE0FD5">
      <w:pPr>
        <w:spacing w:before="120" w:after="120" w:line="240" w:lineRule="auto"/>
        <w:rPr>
          <w:rFonts w:cs="Arial"/>
        </w:rPr>
      </w:pPr>
      <w:r w:rsidRPr="007223FB">
        <w:rPr>
          <w:rFonts w:cs="Arial"/>
        </w:rPr>
        <w:t xml:space="preserve">El Mineco posee estrategias vinculadas a la implementación de mecanismos para mejorar sistemas de administración económico-comerciales, becas de primer empleo, mejora de la competitividad, atracción de inversiones en distintos sectores, incremento del nivel de empleabilidad del sector joven, impulso de leyes que incentivan la generación de empleo formal, institucionalización de las actividades del Programa de Agregados Comerciales Inversión y turismo, promoción y divulgación de los derechos de los consumidores y usuarios, entre otros. </w:t>
      </w:r>
    </w:p>
    <w:p w:rsidR="00627FA1" w:rsidRPr="007223FB" w:rsidRDefault="00CF5C28" w:rsidP="00CE0FD5">
      <w:pPr>
        <w:spacing w:before="120" w:after="120" w:line="240" w:lineRule="auto"/>
        <w:rPr>
          <w:rFonts w:cs="Arial"/>
          <w:b/>
        </w:rPr>
      </w:pPr>
      <w:r w:rsidRPr="007223FB">
        <w:rPr>
          <w:rFonts w:cs="Arial"/>
        </w:rPr>
        <w:t>Así mismo el  Ministerio c</w:t>
      </w:r>
      <w:r w:rsidR="00627FA1" w:rsidRPr="007223FB">
        <w:rPr>
          <w:rFonts w:cs="Arial"/>
        </w:rPr>
        <w:t xml:space="preserve">ontribuye a la Política General de Gobiern0 (PGG) 2016-2020, en el eje de desarrollo, prioridad de nuevas empresas y fomento al turismo, para lo cual, ha focalizado esfuerzos y recursos </w:t>
      </w:r>
      <w:r w:rsidRPr="007223FB">
        <w:rPr>
          <w:rFonts w:cs="Arial"/>
        </w:rPr>
        <w:t>en</w:t>
      </w:r>
      <w:r w:rsidR="00627FA1" w:rsidRPr="007223FB">
        <w:rPr>
          <w:rFonts w:cs="Arial"/>
        </w:rPr>
        <w:t xml:space="preserve"> la meta de país: “Para el 2019, Guatemala mantiene el valor de 3.5, obtenido en la edición 2017, del Índice de Competitividad Turística del Foro Económico Mundial”, con  1 producto: “Micro, pequeñas  y  medianas  empresas beneficiadas  con  servicios  de asistencia técnica y financiera”  con una meta inicial de 12,525.00</w:t>
      </w:r>
      <w:r w:rsidR="00627FA1" w:rsidRPr="007223FB">
        <w:rPr>
          <w:rFonts w:cs="Arial"/>
          <w:b/>
        </w:rPr>
        <w:t>,</w:t>
      </w:r>
      <w:r w:rsidR="00627FA1" w:rsidRPr="007223FB">
        <w:rPr>
          <w:rFonts w:cs="Arial"/>
        </w:rPr>
        <w:t xml:space="preserve"> vigente de 12,826, avance físico de 4,055 y un porcentaje de 31.64%, acumulado de 71.55%</w:t>
      </w:r>
    </w:p>
    <w:p w:rsidR="006A25D7" w:rsidRPr="006F723D" w:rsidRDefault="006F723D" w:rsidP="006F723D">
      <w:pPr>
        <w:pStyle w:val="Ttulo3"/>
        <w:numPr>
          <w:ilvl w:val="0"/>
          <w:numId w:val="0"/>
        </w:numPr>
        <w:tabs>
          <w:tab w:val="left" w:pos="1985"/>
        </w:tabs>
        <w:ind w:left="1560" w:hanging="709"/>
      </w:pPr>
      <w:bookmarkStart w:id="27" w:name="_Toc19527428"/>
      <w:r>
        <w:t>2.3.2</w:t>
      </w:r>
      <w:r>
        <w:tab/>
      </w:r>
      <w:r w:rsidR="00E461C5" w:rsidRPr="006F723D">
        <w:t>En 2019 se redujo el déficit habitacional en 4%</w:t>
      </w:r>
      <w:bookmarkEnd w:id="27"/>
      <w:r w:rsidR="00E461C5" w:rsidRPr="006F723D">
        <w:t xml:space="preserve"> </w:t>
      </w:r>
    </w:p>
    <w:p w:rsidR="006A25D7" w:rsidRPr="007223FB" w:rsidRDefault="006A25D7" w:rsidP="00CE0FD5">
      <w:pPr>
        <w:autoSpaceDE w:val="0"/>
        <w:autoSpaceDN w:val="0"/>
        <w:adjustRightInd w:val="0"/>
        <w:spacing w:before="120" w:after="120" w:line="240" w:lineRule="auto"/>
        <w:rPr>
          <w:rFonts w:cs="Times-New-Roman"/>
        </w:rPr>
      </w:pPr>
      <w:r w:rsidRPr="007223FB">
        <w:rPr>
          <w:rFonts w:cstheme="minorHAnsi"/>
        </w:rPr>
        <w:t>En el marco de la política General de Gobierno 2016-2019, eje: Fomento a las Mipymes, Turismo y Construcción de Vivienda, estableciendo el déficit habitacional en uno de los problemas estructurales que afectan la calidad de vida de los guatemaltecos, el Ministerio de Comunicaciones, ente rector del Resultado Estratégico: “Para el 2019, se ha reducido el déficit habitacional en 4.0%”, registró en el Sistema de Planes, a tra</w:t>
      </w:r>
      <w:r w:rsidR="00E70F8B" w:rsidRPr="007223FB">
        <w:rPr>
          <w:rFonts w:cstheme="minorHAnsi"/>
        </w:rPr>
        <w:t>vés de la Unidad Ejecutora Fondo</w:t>
      </w:r>
      <w:r w:rsidRPr="007223FB">
        <w:rPr>
          <w:rFonts w:cstheme="minorHAnsi"/>
        </w:rPr>
        <w:t xml:space="preserve"> Para la Vivienda, el producto: Familias beneficiadas con subsidios para la vivienda,</w:t>
      </w:r>
      <w:r w:rsidRPr="007223FB">
        <w:rPr>
          <w:rFonts w:cs="Times-New-Roman"/>
        </w:rPr>
        <w:t xml:space="preserve"> con una meta anual de 14,892 familias, con modificaciones, al segundo cuatrimestre presenta una meta vigente de 8,738 familias, con un avance de ejecución de 26.37%. A través de la Unidad Ejecutora del Fondo Social de Solidaridad, registra el producto: Familias beneficiadas con servicios de habitabilidad en viviendas, con una meta anual de 17 familias, con un avance de ejecución de o%.</w:t>
      </w:r>
    </w:p>
    <w:p w:rsidR="006A25D7" w:rsidRPr="007223FB" w:rsidRDefault="006A25D7" w:rsidP="00CE0FD5">
      <w:pPr>
        <w:autoSpaceDE w:val="0"/>
        <w:autoSpaceDN w:val="0"/>
        <w:adjustRightInd w:val="0"/>
        <w:spacing w:before="120" w:after="120" w:line="240" w:lineRule="auto"/>
        <w:rPr>
          <w:rFonts w:cs="Times-New-Roman"/>
          <w:color w:val="000000" w:themeColor="text1"/>
        </w:rPr>
      </w:pPr>
      <w:r w:rsidRPr="007223FB">
        <w:rPr>
          <w:rFonts w:cs="Times-New-Roman"/>
          <w:color w:val="000000" w:themeColor="text1"/>
        </w:rPr>
        <w:t xml:space="preserve">Para el tercer cuatrimestre se debe partir analizando el avance físico del acumulado enero a agosto, de las intervenciones programadas para el alcance de la meta del resultado estratégico sobre vivienda, debido a que en su ejecución no se supera el 30% de avance, reflejando baja eficacia y eficiencia para el alcance de la meta, estos productos son estratégicos para el logro del resultado. </w:t>
      </w:r>
    </w:p>
    <w:p w:rsidR="00A77F4A" w:rsidRPr="006F723D" w:rsidRDefault="006F723D" w:rsidP="006F723D">
      <w:pPr>
        <w:pStyle w:val="Ttulo3"/>
        <w:numPr>
          <w:ilvl w:val="0"/>
          <w:numId w:val="0"/>
        </w:numPr>
        <w:tabs>
          <w:tab w:val="left" w:pos="1985"/>
        </w:tabs>
        <w:ind w:left="1560" w:hanging="709"/>
      </w:pPr>
      <w:bookmarkStart w:id="28" w:name="_Toc19527429"/>
      <w:r>
        <w:lastRenderedPageBreak/>
        <w:t>2.3.3</w:t>
      </w:r>
      <w:r>
        <w:tab/>
      </w:r>
      <w:r w:rsidR="00A77F4A" w:rsidRPr="006F723D">
        <w:t>Seguridad ciudadana</w:t>
      </w:r>
      <w:bookmarkEnd w:id="28"/>
    </w:p>
    <w:p w:rsidR="008023A9" w:rsidRPr="007223FB" w:rsidRDefault="008023A9" w:rsidP="00CE0FD5">
      <w:pPr>
        <w:spacing w:before="120" w:after="120" w:line="240" w:lineRule="auto"/>
        <w:rPr>
          <w:lang w:eastAsia="es-GT"/>
        </w:rPr>
      </w:pPr>
      <w:r w:rsidRPr="007223FB">
        <w:rPr>
          <w:lang w:eastAsia="es-GT"/>
        </w:rPr>
        <w:t>El Ministerio de Gobernación como ente Rector del ámbito de Seguridad Interior, es responsable de la consecución de los dos Resultados Estratégicos priorizados en la Política General de Gobierno, para el alcance de las metas propuestas, el MINGOB presenta los avances siguientes al segundo cuatrimestre de ejecución 2019.</w:t>
      </w:r>
    </w:p>
    <w:p w:rsidR="00BA63EB" w:rsidRPr="006F723D" w:rsidRDefault="006F723D" w:rsidP="006F723D">
      <w:pPr>
        <w:pStyle w:val="Ttulo3"/>
        <w:numPr>
          <w:ilvl w:val="0"/>
          <w:numId w:val="0"/>
        </w:numPr>
        <w:tabs>
          <w:tab w:val="left" w:pos="1985"/>
        </w:tabs>
        <w:ind w:left="1560" w:hanging="709"/>
      </w:pPr>
      <w:bookmarkStart w:id="29" w:name="_Toc19527430"/>
      <w:r>
        <w:t>2.3.4</w:t>
      </w:r>
      <w:r>
        <w:tab/>
      </w:r>
      <w:r w:rsidR="00E461C5" w:rsidRPr="006F723D">
        <w:t>Para el 2019, se ha disminuido la tasa de delitos cometidos contra el patrimonio de las personas en 7 puntos (De 97 en 2015 a 90 en 2019).</w:t>
      </w:r>
      <w:bookmarkEnd w:id="29"/>
      <w:r w:rsidR="00E461C5" w:rsidRPr="006F723D">
        <w:t xml:space="preserve">  </w:t>
      </w:r>
    </w:p>
    <w:p w:rsidR="00E461C5" w:rsidRPr="007223FB" w:rsidRDefault="008023A9" w:rsidP="00CE0FD5">
      <w:pPr>
        <w:spacing w:before="120" w:after="120" w:line="240" w:lineRule="auto"/>
      </w:pPr>
      <w:r w:rsidRPr="007223FB">
        <w:t xml:space="preserve">Este resultado </w:t>
      </w:r>
      <w:r w:rsidR="00A77E15" w:rsidRPr="007223FB">
        <w:t>registra durante el II cuatrimestre un total de 2, 844 hechos a nivel nacional y equivale a una tasa de 16.08 por cada 100 mil habitantes. Esta tasa registro  un comportamiento mensual  promedio de 4.02 hechos delictivos, siendo el mes de julio el que sumo la mayor cantidad con 755 casos reportados. La meta de este resultado fue alcanzada durante el año 2019, por lo que se prevé un desempeño mejor al planificado.</w:t>
      </w:r>
    </w:p>
    <w:p w:rsidR="00197BB6" w:rsidRPr="007223FB" w:rsidRDefault="00197BB6" w:rsidP="00CE0FD5">
      <w:pPr>
        <w:tabs>
          <w:tab w:val="left" w:pos="5245"/>
        </w:tabs>
        <w:spacing w:before="120" w:after="120" w:line="240" w:lineRule="auto"/>
        <w:ind w:right="-12"/>
        <w:rPr>
          <w:rFonts w:eastAsia="Candara" w:cs="Candara"/>
          <w:color w:val="000000" w:themeColor="text1"/>
        </w:rPr>
      </w:pPr>
      <w:r w:rsidRPr="007223FB">
        <w:rPr>
          <w:rFonts w:eastAsia="Candara" w:cs="Candara"/>
          <w:color w:val="000000" w:themeColor="text1"/>
        </w:rPr>
        <w:t>El Ministerio de Desarrollo vincula con este resultado estratégico u</w:t>
      </w:r>
      <w:r w:rsidRPr="007223FB">
        <w:rPr>
          <w:rFonts w:eastAsia="Candara" w:cs="Candara"/>
          <w:color w:val="000000" w:themeColor="text1"/>
          <w:spacing w:val="1"/>
        </w:rPr>
        <w:t>n</w:t>
      </w:r>
      <w:r w:rsidRPr="007223FB">
        <w:rPr>
          <w:rFonts w:eastAsia="Candara" w:cs="Candara"/>
          <w:color w:val="000000" w:themeColor="text1"/>
        </w:rPr>
        <w:t>a</w:t>
      </w:r>
      <w:r w:rsidRPr="007223FB">
        <w:rPr>
          <w:rFonts w:eastAsia="Candara" w:cs="Candara"/>
          <w:color w:val="000000" w:themeColor="text1"/>
          <w:spacing w:val="3"/>
        </w:rPr>
        <w:t xml:space="preserve"> </w:t>
      </w:r>
      <w:r w:rsidRPr="007223FB">
        <w:rPr>
          <w:rFonts w:eastAsia="Candara" w:cs="Candara"/>
          <w:color w:val="000000" w:themeColor="text1"/>
          <w:spacing w:val="-2"/>
        </w:rPr>
        <w:t>a</w:t>
      </w:r>
      <w:r w:rsidRPr="007223FB">
        <w:rPr>
          <w:rFonts w:eastAsia="Candara" w:cs="Candara"/>
          <w:color w:val="000000" w:themeColor="text1"/>
          <w:spacing w:val="1"/>
        </w:rPr>
        <w:t>s</w:t>
      </w:r>
      <w:r w:rsidRPr="007223FB">
        <w:rPr>
          <w:rFonts w:eastAsia="Candara" w:cs="Candara"/>
          <w:color w:val="000000" w:themeColor="text1"/>
        </w:rPr>
        <w:t>i</w:t>
      </w:r>
      <w:r w:rsidRPr="007223FB">
        <w:rPr>
          <w:rFonts w:eastAsia="Candara" w:cs="Candara"/>
          <w:color w:val="000000" w:themeColor="text1"/>
          <w:spacing w:val="-1"/>
        </w:rPr>
        <w:t>g</w:t>
      </w:r>
      <w:r w:rsidRPr="007223FB">
        <w:rPr>
          <w:rFonts w:eastAsia="Candara" w:cs="Candara"/>
          <w:color w:val="000000" w:themeColor="text1"/>
          <w:spacing w:val="1"/>
        </w:rPr>
        <w:t>n</w:t>
      </w:r>
      <w:r w:rsidRPr="007223FB">
        <w:rPr>
          <w:rFonts w:eastAsia="Candara" w:cs="Candara"/>
          <w:color w:val="000000" w:themeColor="text1"/>
        </w:rPr>
        <w:t>a</w:t>
      </w:r>
      <w:r w:rsidRPr="007223FB">
        <w:rPr>
          <w:rFonts w:eastAsia="Candara" w:cs="Candara"/>
          <w:color w:val="000000" w:themeColor="text1"/>
          <w:spacing w:val="1"/>
        </w:rPr>
        <w:t>c</w:t>
      </w:r>
      <w:r w:rsidRPr="007223FB">
        <w:rPr>
          <w:rFonts w:eastAsia="Candara" w:cs="Candara"/>
          <w:color w:val="000000" w:themeColor="text1"/>
        </w:rPr>
        <w:t>i</w:t>
      </w:r>
      <w:r w:rsidRPr="007223FB">
        <w:rPr>
          <w:rFonts w:eastAsia="Candara" w:cs="Candara"/>
          <w:color w:val="000000" w:themeColor="text1"/>
          <w:spacing w:val="-1"/>
        </w:rPr>
        <w:t>ó</w:t>
      </w:r>
      <w:r w:rsidRPr="007223FB">
        <w:rPr>
          <w:rFonts w:eastAsia="Candara" w:cs="Candara"/>
          <w:color w:val="000000" w:themeColor="text1"/>
        </w:rPr>
        <w:t>n</w:t>
      </w:r>
      <w:r w:rsidRPr="007223FB">
        <w:rPr>
          <w:rFonts w:eastAsia="Candara" w:cs="Candara"/>
          <w:color w:val="000000" w:themeColor="text1"/>
          <w:spacing w:val="1"/>
        </w:rPr>
        <w:t xml:space="preserve"> </w:t>
      </w:r>
      <w:r w:rsidRPr="007223FB">
        <w:rPr>
          <w:rFonts w:eastAsia="Candara" w:cs="Candara"/>
          <w:color w:val="000000" w:themeColor="text1"/>
        </w:rPr>
        <w:t>f</w:t>
      </w:r>
      <w:r w:rsidRPr="007223FB">
        <w:rPr>
          <w:rFonts w:eastAsia="Candara" w:cs="Candara"/>
          <w:color w:val="000000" w:themeColor="text1"/>
          <w:spacing w:val="-2"/>
        </w:rPr>
        <w:t>i</w:t>
      </w:r>
      <w:r w:rsidRPr="007223FB">
        <w:rPr>
          <w:rFonts w:eastAsia="Candara" w:cs="Candara"/>
          <w:color w:val="000000" w:themeColor="text1"/>
          <w:spacing w:val="1"/>
        </w:rPr>
        <w:t>n</w:t>
      </w:r>
      <w:r w:rsidRPr="007223FB">
        <w:rPr>
          <w:rFonts w:eastAsia="Candara" w:cs="Candara"/>
          <w:color w:val="000000" w:themeColor="text1"/>
        </w:rPr>
        <w:t>a</w:t>
      </w:r>
      <w:r w:rsidRPr="007223FB">
        <w:rPr>
          <w:rFonts w:eastAsia="Candara" w:cs="Candara"/>
          <w:color w:val="000000" w:themeColor="text1"/>
          <w:spacing w:val="-2"/>
        </w:rPr>
        <w:t>n</w:t>
      </w:r>
      <w:r w:rsidRPr="007223FB">
        <w:rPr>
          <w:rFonts w:eastAsia="Candara" w:cs="Candara"/>
          <w:color w:val="000000" w:themeColor="text1"/>
          <w:spacing w:val="1"/>
        </w:rPr>
        <w:t>c</w:t>
      </w:r>
      <w:r w:rsidRPr="007223FB">
        <w:rPr>
          <w:rFonts w:eastAsia="Candara" w:cs="Candara"/>
          <w:color w:val="000000" w:themeColor="text1"/>
        </w:rPr>
        <w:t>ie</w:t>
      </w:r>
      <w:r w:rsidRPr="007223FB">
        <w:rPr>
          <w:rFonts w:eastAsia="Candara" w:cs="Candara"/>
          <w:color w:val="000000" w:themeColor="text1"/>
          <w:spacing w:val="1"/>
        </w:rPr>
        <w:t>r</w:t>
      </w:r>
      <w:r w:rsidRPr="007223FB">
        <w:rPr>
          <w:rFonts w:eastAsia="Candara" w:cs="Candara"/>
          <w:color w:val="000000" w:themeColor="text1"/>
        </w:rPr>
        <w:t>a</w:t>
      </w:r>
      <w:r w:rsidRPr="007223FB">
        <w:rPr>
          <w:rFonts w:eastAsia="Candara" w:cs="Candara"/>
          <w:color w:val="000000" w:themeColor="text1"/>
          <w:spacing w:val="3"/>
        </w:rPr>
        <w:t xml:space="preserve"> inicial y vigente de Q 27.5 millones, pr</w:t>
      </w:r>
      <w:r w:rsidRPr="007223FB">
        <w:rPr>
          <w:rFonts w:eastAsia="Candara" w:cs="Candara"/>
          <w:color w:val="000000" w:themeColor="text1"/>
        </w:rPr>
        <w:t xml:space="preserve">esenta </w:t>
      </w:r>
      <w:r w:rsidRPr="007223FB">
        <w:rPr>
          <w:rStyle w:val="Textoennegrita"/>
          <w:b w:val="0"/>
          <w:color w:val="000000" w:themeColor="text1"/>
        </w:rPr>
        <w:t>ejecución para el cuatrimestre de Q 1.4 millones equivalente a 5</w:t>
      </w:r>
      <w:r w:rsidR="0030546C" w:rsidRPr="007223FB">
        <w:rPr>
          <w:rStyle w:val="Textoennegrita"/>
          <w:b w:val="0"/>
          <w:color w:val="000000" w:themeColor="text1"/>
        </w:rPr>
        <w:t>% y</w:t>
      </w:r>
      <w:r w:rsidRPr="007223FB">
        <w:rPr>
          <w:rStyle w:val="Textoennegrita"/>
          <w:b w:val="0"/>
          <w:color w:val="000000" w:themeColor="text1"/>
        </w:rPr>
        <w:t xml:space="preserve"> acumulada de Q2.6 millones correspondiente a 10%.  En cuanto al</w:t>
      </w:r>
      <w:r w:rsidRPr="007223FB">
        <w:rPr>
          <w:rFonts w:eastAsia="Candara" w:cs="Candara"/>
          <w:color w:val="000000" w:themeColor="text1"/>
        </w:rPr>
        <w:t xml:space="preserve"> avance físico para el cuatrimestre presenta el siguiente avance: producto “Adolescentes y jóvenes protagonistas que participan en actividades para el desarrollo de sus capacidades” no presenta avance físico </w:t>
      </w:r>
      <w:r w:rsidR="00A73BE5" w:rsidRPr="007223FB">
        <w:rPr>
          <w:rFonts w:eastAsia="Candara" w:cs="Candara"/>
          <w:color w:val="000000" w:themeColor="text1"/>
        </w:rPr>
        <w:t>para el</w:t>
      </w:r>
      <w:r w:rsidRPr="007223FB">
        <w:rPr>
          <w:rFonts w:eastAsia="Candara" w:cs="Candara"/>
          <w:color w:val="000000" w:themeColor="text1"/>
        </w:rPr>
        <w:t xml:space="preserve"> cuatrimestre ni acumulado.</w:t>
      </w:r>
    </w:p>
    <w:p w:rsidR="00A73BE5" w:rsidRPr="006F723D" w:rsidRDefault="006F723D" w:rsidP="006F723D">
      <w:pPr>
        <w:pStyle w:val="Ttulo3"/>
        <w:numPr>
          <w:ilvl w:val="0"/>
          <w:numId w:val="0"/>
        </w:numPr>
        <w:tabs>
          <w:tab w:val="left" w:pos="1985"/>
        </w:tabs>
        <w:ind w:left="1560" w:hanging="709"/>
      </w:pPr>
      <w:bookmarkStart w:id="30" w:name="_Toc19527431"/>
      <w:r>
        <w:t>2.3.5</w:t>
      </w:r>
      <w:r>
        <w:tab/>
      </w:r>
      <w:r w:rsidR="00A73BE5" w:rsidRPr="006F723D">
        <w:t>Para el 2019, se ha disminuido la tasa de homicidios en 6 puntos (De 29.5 en 2015 a 23.5 en 2019)</w:t>
      </w:r>
      <w:bookmarkEnd w:id="30"/>
    </w:p>
    <w:p w:rsidR="00A73BE5" w:rsidRPr="007223FB" w:rsidRDefault="00A73BE5" w:rsidP="00CE0FD5">
      <w:pPr>
        <w:spacing w:before="120" w:after="120" w:line="240" w:lineRule="auto"/>
      </w:pPr>
      <w:r w:rsidRPr="007223FB">
        <w:t>Este resultado registra durante el II cuatrimestre un total de 1, 276 homicidios a nivel nacional, lo que equivale a una tasa cuatrimestral de 7.2 por cada 100 mil habitantes. La tasa registra un comportamiento mensual de 1.8 homicidios, siendo el mes de julio el que registra mayores hechos con 395 casos.  La meta de este resultado al 2018 cerró con una tasa de 22.4 por cada 100 mil habitantes, por lo que se prevé el cumplimiento de la meta definida al 2019.</w:t>
      </w:r>
    </w:p>
    <w:p w:rsidR="00A77F4A" w:rsidRPr="006F723D" w:rsidRDefault="006F723D" w:rsidP="006F723D">
      <w:pPr>
        <w:pStyle w:val="Ttulo3"/>
        <w:numPr>
          <w:ilvl w:val="0"/>
          <w:numId w:val="0"/>
        </w:numPr>
        <w:tabs>
          <w:tab w:val="left" w:pos="1985"/>
        </w:tabs>
        <w:ind w:left="1560" w:hanging="709"/>
      </w:pPr>
      <w:bookmarkStart w:id="31" w:name="_Toc19527432"/>
      <w:r>
        <w:t>2.3.6</w:t>
      </w:r>
      <w:r>
        <w:tab/>
      </w:r>
      <w:r w:rsidR="00A77F4A" w:rsidRPr="006F723D">
        <w:t>Ambiente y recursos naturales</w:t>
      </w:r>
      <w:bookmarkEnd w:id="31"/>
    </w:p>
    <w:p w:rsidR="003B613C" w:rsidRPr="007223FB" w:rsidRDefault="003B613C" w:rsidP="00CE0FD5">
      <w:pPr>
        <w:spacing w:before="120" w:after="120" w:line="240" w:lineRule="auto"/>
        <w:rPr>
          <w:lang w:eastAsia="es-GT"/>
        </w:rPr>
      </w:pPr>
      <w:r w:rsidRPr="007223FB">
        <w:rPr>
          <w:lang w:eastAsia="es-GT"/>
        </w:rPr>
        <w:t xml:space="preserve">“Guatemala es un país mega diverso por su alta diversidad biológica y cultural. Por lo tanto, la conservación y el manejo racional del ambiente y los recursos naturales que están asociados directamente con el desarrollo sostenible, son una prioridad para la presente administración de Gobierno”. </w:t>
      </w:r>
    </w:p>
    <w:p w:rsidR="003B613C" w:rsidRPr="006F723D" w:rsidRDefault="006F723D" w:rsidP="006F723D">
      <w:pPr>
        <w:pStyle w:val="Ttulo3"/>
        <w:numPr>
          <w:ilvl w:val="0"/>
          <w:numId w:val="0"/>
        </w:numPr>
        <w:tabs>
          <w:tab w:val="left" w:pos="1985"/>
        </w:tabs>
        <w:ind w:left="1560" w:hanging="709"/>
      </w:pPr>
      <w:bookmarkStart w:id="32" w:name="_Toc19527433"/>
      <w:r>
        <w:t>2.3.7</w:t>
      </w:r>
      <w:r>
        <w:tab/>
      </w:r>
      <w:r w:rsidR="0069019F" w:rsidRPr="006F723D">
        <w:t>Para el 2019, se ha mantenido la cobertura forestal del territorio nacional en 33.7 %</w:t>
      </w:r>
      <w:r w:rsidR="0030546C" w:rsidRPr="006F723D">
        <w:t>.</w:t>
      </w:r>
      <w:bookmarkEnd w:id="32"/>
    </w:p>
    <w:p w:rsidR="003B613C" w:rsidRPr="007223FB" w:rsidRDefault="003B613C" w:rsidP="00CE0FD5">
      <w:pPr>
        <w:spacing w:before="120" w:after="120" w:line="240" w:lineRule="auto"/>
        <w:rPr>
          <w:lang w:eastAsia="es-GT"/>
        </w:rPr>
      </w:pPr>
      <w:r w:rsidRPr="007223FB">
        <w:rPr>
          <w:lang w:eastAsia="es-GT"/>
        </w:rPr>
        <w:t>A lo largo  del período 2010-2016, el 27% del total de los municipios presentan ganancias mayores del 9% de cobertura forestal, de acuerdo al área territorial que tiene cada uno de los municipios. Los municipios con mayor ganancia se ubican dentro de los departamentos de Quetzaltenango, Quiché, San Marcos, Chimaltenango y alta Verapaz, según estudio de 2019 de la Dinámica de Cobertura Forestal 2010-2016 del Grupo Interinstitucional de monitoreo de Bosques y Uso de la Tierra –GIMBUT-</w:t>
      </w:r>
    </w:p>
    <w:p w:rsidR="003B613C" w:rsidRPr="007223FB" w:rsidRDefault="003B613C" w:rsidP="00CE0FD5">
      <w:pPr>
        <w:spacing w:before="120" w:after="120" w:line="240" w:lineRule="auto"/>
        <w:rPr>
          <w:lang w:eastAsia="es-GT"/>
        </w:rPr>
      </w:pPr>
      <w:r w:rsidRPr="007223FB">
        <w:rPr>
          <w:lang w:eastAsia="es-GT"/>
        </w:rPr>
        <w:t xml:space="preserve">Sin embargo en relación a las pérdidas durante el periodo 2010-2016, el estudio determinó que del total de municipios del país, el 93% presentan una pérdida bruta menor a 6,000 hectáreas, </w:t>
      </w:r>
      <w:r w:rsidR="007A16A1" w:rsidRPr="007223FB">
        <w:rPr>
          <w:lang w:eastAsia="es-GT"/>
        </w:rPr>
        <w:t xml:space="preserve">aunque </w:t>
      </w:r>
      <w:r w:rsidRPr="007223FB">
        <w:rPr>
          <w:lang w:eastAsia="es-GT"/>
        </w:rPr>
        <w:t xml:space="preserve"> existen municipios arriba de las 10,000 hectáreas, siendo estos los municipios de San Andrés y la Libertad del departamento del Peten, le siguen en esta tendencia, municipios vecinos de </w:t>
      </w:r>
      <w:r w:rsidRPr="007223FB">
        <w:rPr>
          <w:lang w:eastAsia="es-GT"/>
        </w:rPr>
        <w:lastRenderedPageBreak/>
        <w:t xml:space="preserve">departamentos de Petén, Izabal, Alta Verapaz, y en menor grado Quiché y algunos municipios de Huehuetenango. </w:t>
      </w:r>
    </w:p>
    <w:p w:rsidR="003B613C" w:rsidRPr="007223FB" w:rsidRDefault="003B613C" w:rsidP="00CE0FD5">
      <w:pPr>
        <w:spacing w:before="120" w:after="120" w:line="240" w:lineRule="auto"/>
        <w:rPr>
          <w:lang w:eastAsia="es-GT"/>
        </w:rPr>
      </w:pPr>
      <w:r w:rsidRPr="007223FB">
        <w:rPr>
          <w:lang w:eastAsia="es-GT"/>
        </w:rPr>
        <w:t xml:space="preserve">Para el año 2010 Guatemala contaba con una superficie de bosque de 3, 675,786 hectáreas, lo que representaba el 33.7% del territorio nacional. Para el año 2016 se determinó una cobertura forestal de 3, 574,244 hectáreas de bosque, lo que equivale al 33.0% del territorio nacional. En ese sentido se determinó un área de pérdida bruta de 680,556 hectáreas de bosque, sin embargo durante ese mismo periodo se recuperaron 579.025 hectáreas, teniendo una pérdida neta de 101,542 hectáreas, con una tasa de deforestación neta de 0.50% a nivel nacional, equivalente a 18,350 hectáreas deforestadas anualmente (GIMBUT 2019). </w:t>
      </w:r>
    </w:p>
    <w:p w:rsidR="003B613C" w:rsidRPr="007223FB" w:rsidRDefault="003B613C" w:rsidP="00CE0FD5">
      <w:pPr>
        <w:spacing w:before="120" w:after="120" w:line="240" w:lineRule="auto"/>
        <w:rPr>
          <w:lang w:eastAsia="es-GT"/>
        </w:rPr>
      </w:pPr>
      <w:r w:rsidRPr="007223FB">
        <w:rPr>
          <w:lang w:eastAsia="es-GT"/>
        </w:rPr>
        <w:t xml:space="preserve">En cuanto a la institución del sector público que tiene por mandato la administración de los bosques del país fuera de áreas protegidas, se encuentra El Instituto Nacional de Bosques (INAB) quien es  rector de este resultado estratégico de país, por lo  cual alinea toda su planificación, programación, ejecución y control de su quehacer a este resultado. En ese sentido es importante destacar que el producto denominado </w:t>
      </w:r>
      <w:r w:rsidRPr="007223FB">
        <w:rPr>
          <w:i/>
          <w:lang w:eastAsia="es-GT"/>
        </w:rPr>
        <w:t xml:space="preserve">“Bosques naturales, plantaciones y sistemas agroforestales </w:t>
      </w:r>
      <w:r w:rsidR="00F601FE" w:rsidRPr="007223FB">
        <w:rPr>
          <w:i/>
          <w:lang w:eastAsia="es-GT"/>
        </w:rPr>
        <w:t>b</w:t>
      </w:r>
      <w:r w:rsidRPr="007223FB">
        <w:rPr>
          <w:i/>
          <w:lang w:eastAsia="es-GT"/>
        </w:rPr>
        <w:t>ajo manejo forestal”</w:t>
      </w:r>
      <w:r w:rsidRPr="007223FB">
        <w:rPr>
          <w:lang w:eastAsia="es-GT"/>
        </w:rPr>
        <w:t xml:space="preserve"> presenta un avance financiero al segundo cuatrimestre de 53.75% (Q. 37.59 millones) y un avance físico de 61.85% equivalentes en aprobar y certificar 414,175 hectáreas bajo manejo forestal de una meta vigente de 588,677 hectáreas, a través de los mecanismos PROBOSQUE y PINPEP; en donde cabe mencionar que este producto registró un decremento de 4.46% en reprogramar su meta inicial fijada en 616,206 hectáreas, lo que hace disminuir su impacto al resultado estratégico. </w:t>
      </w:r>
    </w:p>
    <w:p w:rsidR="003B613C" w:rsidRPr="007223FB" w:rsidRDefault="003B613C" w:rsidP="00CE0FD5">
      <w:pPr>
        <w:spacing w:before="120" w:after="120" w:line="240" w:lineRule="auto"/>
        <w:rPr>
          <w:lang w:eastAsia="es-GT"/>
        </w:rPr>
      </w:pPr>
      <w:r w:rsidRPr="007223FB">
        <w:rPr>
          <w:lang w:eastAsia="es-GT"/>
        </w:rPr>
        <w:t xml:space="preserve">Dentro de la programación del INAB, el producto denominado </w:t>
      </w:r>
      <w:r w:rsidRPr="007223FB">
        <w:rPr>
          <w:i/>
          <w:lang w:eastAsia="es-GT"/>
        </w:rPr>
        <w:t>“Comercio legal de productos forestales”</w:t>
      </w:r>
      <w:r w:rsidRPr="007223FB">
        <w:rPr>
          <w:lang w:eastAsia="es-GT"/>
        </w:rPr>
        <w:t xml:space="preserve"> presenta un avance financiero al segundo cuatrimestre de 46.42% (Q. 13.43 millones) y un avance físico del 79.61%  equivalentes en comercializar 350,000 metros cúbicos de madera, sin embargo el avance físico sobrepasa por mucho al financiero, por lo que es necesario evaluar si corresponde un incremento a la meta física para ejecutar de acuerdo al producto y lograr una mejor eficiencia en la ejecución del gasto público.</w:t>
      </w:r>
    </w:p>
    <w:p w:rsidR="003B613C" w:rsidRPr="007223FB" w:rsidRDefault="003B613C" w:rsidP="00CE0FD5">
      <w:pPr>
        <w:spacing w:before="120" w:after="120" w:line="240" w:lineRule="auto"/>
        <w:rPr>
          <w:lang w:eastAsia="es-GT"/>
        </w:rPr>
      </w:pPr>
      <w:r w:rsidRPr="007223FB">
        <w:rPr>
          <w:lang w:eastAsia="es-GT"/>
        </w:rPr>
        <w:t xml:space="preserve">En cuanto a la Distribución de Cobertura Forestal dentro de Áreas protegidas según el estudio realizado por el GIMBUT, para el año 2,010 se contabilizó que aproximadamente el 52.7 % (1,936.046 hectáreas) de la cobertura forestal a nivel nacional, se encontraba dentro del Sistema Guatemalteco de Áreas Protegidas –SIGAP-; mientas que para el año 2016 cambió a 51.4% (1, 838,903 hectáreas de bosque).  Por lo cual, según los resultados de dinámica en Áreas Protegidas, anualmente se pierden 39,478 hectáreas de bosque y se ganan 21,977, que representa una tasa anual neta de -0.9%, mientras que fuera de áreas protegidas la tasa anual neta es de -0.05%, lo que evidencia que las áreas protegidas por ser remanentes de bosque, están expuestos a su degradación. </w:t>
      </w:r>
    </w:p>
    <w:p w:rsidR="003B613C" w:rsidRPr="007223FB" w:rsidRDefault="003B613C" w:rsidP="00CE0FD5">
      <w:pPr>
        <w:spacing w:before="120" w:after="120" w:line="240" w:lineRule="auto"/>
        <w:rPr>
          <w:lang w:eastAsia="es-GT"/>
        </w:rPr>
      </w:pPr>
      <w:r w:rsidRPr="007223FB">
        <w:rPr>
          <w:lang w:eastAsia="es-GT"/>
        </w:rPr>
        <w:t xml:space="preserve">En lo que respecta la conservación, protección, mejoramiento y creación de áreas protegidas, la institución pública competente es el Consejo Nacional de Áreas Protegidas (CONAP) y es corresponsable de este Resultado Estratégico de País, de esa cuenta vincula toda su planificación y control de su quehacer a este resultado. En ese sentido es importante destacar el producto denominado </w:t>
      </w:r>
      <w:r w:rsidRPr="007223FB">
        <w:rPr>
          <w:i/>
          <w:lang w:eastAsia="es-GT"/>
        </w:rPr>
        <w:t xml:space="preserve">“Ecosistemas del Sistema Guatemalteco de Áreas Protegidas –SIGAP- y diversidad biológica, conservados” </w:t>
      </w:r>
      <w:r w:rsidRPr="007223FB">
        <w:rPr>
          <w:lang w:eastAsia="es-GT"/>
        </w:rPr>
        <w:t xml:space="preserve">el cual presenta un avance financiero al segundo cuatrimestre de 55.11% (Q. 39.54 millones) sin embargo no presenta avance físico de la meta programada de 3, 468,726 hectáreas, por lo que no puede elaborarse un análisis de lo que representa la ejecución financiera respecto a la conservación propiamente de las hectáreas establecidas. Para este producto se establecen operativos de control y vigilancia para proteger los Ecosistemas del SIGAP, pero no se especifica la ubicación de estos operativos, por lo cual es importante enfocar esfuerzos y priorizar </w:t>
      </w:r>
      <w:r w:rsidRPr="007223FB">
        <w:rPr>
          <w:lang w:eastAsia="es-GT"/>
        </w:rPr>
        <w:lastRenderedPageBreak/>
        <w:t xml:space="preserve">áreas de alto interés en donde se evidencie la mayor concentración de operativos para evitar la degradación que son afectas las áreas protegidas. </w:t>
      </w:r>
    </w:p>
    <w:p w:rsidR="003B613C" w:rsidRPr="007223FB" w:rsidRDefault="003B613C" w:rsidP="00CE0FD5">
      <w:pPr>
        <w:spacing w:before="120" w:after="120" w:line="240" w:lineRule="auto"/>
        <w:rPr>
          <w:lang w:eastAsia="es-GT"/>
        </w:rPr>
      </w:pPr>
      <w:r w:rsidRPr="007223FB">
        <w:rPr>
          <w:lang w:eastAsia="es-GT"/>
        </w:rPr>
        <w:t>En conclusión, el estudio del GIMBUT evidencia que la pérdida año con año es de 18 mil hectáreas y de cobertura forestal que aumenta se estima en 104 mil, con una pérdida de cobertura forestal de 122 mil y una tasa anual de deforestación de 0.5%, que establece una cobertura forestal al 2016 de 33.00% a nivel nacional (GIMBUT 2019) 0.7% menos que la registrada en 2010. Lo anterior evidencia que las acciones que actualmente se generan no son suficientes para alcanzar el resultado, debiendo reorientar y aumentar todos los esfuerzos para recuperar las áreas degradadas y conservar las áreas que actualmente están expuestas.</w:t>
      </w:r>
    </w:p>
    <w:p w:rsidR="0069019F" w:rsidRPr="006F723D" w:rsidRDefault="006F723D" w:rsidP="006F723D">
      <w:pPr>
        <w:pStyle w:val="Ttulo3"/>
        <w:numPr>
          <w:ilvl w:val="0"/>
          <w:numId w:val="0"/>
        </w:numPr>
        <w:tabs>
          <w:tab w:val="left" w:pos="1985"/>
        </w:tabs>
        <w:ind w:left="1560" w:hanging="709"/>
      </w:pPr>
      <w:bookmarkStart w:id="33" w:name="_Toc19527434"/>
      <w:r>
        <w:t>2.3.8</w:t>
      </w:r>
      <w:r>
        <w:tab/>
      </w:r>
      <w:r w:rsidR="0069019F" w:rsidRPr="006F723D">
        <w:t>Para el 2019, se ha incrementado en el país la capacidad de resiliencia y adaptación al cambio climático</w:t>
      </w:r>
      <w:bookmarkEnd w:id="33"/>
    </w:p>
    <w:p w:rsidR="003B613C" w:rsidRPr="007223FB" w:rsidRDefault="003B613C" w:rsidP="00CE0FD5">
      <w:pPr>
        <w:spacing w:before="120" w:after="120" w:line="240" w:lineRule="auto"/>
        <w:rPr>
          <w:lang w:eastAsia="es-GT"/>
        </w:rPr>
      </w:pPr>
      <w:r w:rsidRPr="007223FB">
        <w:rPr>
          <w:lang w:eastAsia="es-GT"/>
        </w:rPr>
        <w:t xml:space="preserve">Para Guatemala el incremento de las actividades humanas en los últimos 150 años ha producido un efecto negativo en los diferentes sistemas ambientales, produciendo una tendencia aumentada de la variabilidad climática, como parte del ciclo natural generado por el movimiento de las corrientes marinas entre otras variables, esto a su vez ha incrementado los efectos negativos que se puedan producir en las distintas regiones del país. Según explica el Panel Intergubernamental de Cambio Climático –IPCC- el problema generalizado es el aumento del CO2, el cual ha incrementado las concentraciones de dióxido de carbono en un 40%, principalmente por la quema de combustibles fósiles y la deforestación. </w:t>
      </w:r>
    </w:p>
    <w:p w:rsidR="003B613C" w:rsidRPr="007223FB" w:rsidRDefault="003B613C" w:rsidP="00CE0FD5">
      <w:pPr>
        <w:spacing w:before="120" w:after="120" w:line="240" w:lineRule="auto"/>
        <w:rPr>
          <w:lang w:eastAsia="es-GT"/>
        </w:rPr>
      </w:pPr>
      <w:r w:rsidRPr="007223FB">
        <w:rPr>
          <w:lang w:eastAsia="es-GT"/>
        </w:rPr>
        <w:t xml:space="preserve">La entrada en vigencia del Acuerdo de París, provocó que en el País, se adoptarán nuevas metodologías e instrumentos para la reducción de emisiones mediante las Contribuciones Determinadas a nivel Nacional –NDC- (por sus siglas en ingles), los cuales presentan compromisos internacionales para la reducción de contaminantes. </w:t>
      </w:r>
    </w:p>
    <w:p w:rsidR="003B613C" w:rsidRPr="007223FB" w:rsidRDefault="003B613C" w:rsidP="00CE0FD5">
      <w:pPr>
        <w:spacing w:before="120" w:after="120" w:line="240" w:lineRule="auto"/>
        <w:rPr>
          <w:lang w:eastAsia="es-GT"/>
        </w:rPr>
      </w:pPr>
      <w:r w:rsidRPr="007223FB">
        <w:rPr>
          <w:lang w:eastAsia="es-GT"/>
        </w:rPr>
        <w:t xml:space="preserve">Para atender la problemática del cambio climático, el Gobierno, con aprobación del Congreso dela República, emitió el Decreto No. 7-2013 Ley Marco de Cambio Climático, dentro del cual se estableció la creación de cuatro instrumentos que permitirán definir el uso de energías limpias, la compensación y regulación de emisiones de CO2, así como el establecimiento de proyectos para la remoción o reducción de emisiones de GEI. </w:t>
      </w:r>
    </w:p>
    <w:p w:rsidR="003B613C" w:rsidRPr="007223FB" w:rsidRDefault="003B613C" w:rsidP="00CE0FD5">
      <w:pPr>
        <w:spacing w:before="120" w:after="120" w:line="240" w:lineRule="auto"/>
        <w:rPr>
          <w:lang w:eastAsia="es-GT"/>
        </w:rPr>
      </w:pPr>
      <w:r w:rsidRPr="007223FB">
        <w:rPr>
          <w:lang w:eastAsia="es-GT"/>
        </w:rPr>
        <w:t>En ese sentido el Ministerio de Ambiente y Recursos Naturales –MARN</w:t>
      </w:r>
      <w:r w:rsidRPr="007223FB">
        <w:rPr>
          <w:b/>
          <w:lang w:eastAsia="es-GT"/>
        </w:rPr>
        <w:t>-</w:t>
      </w:r>
      <w:r w:rsidR="00FF4A5A" w:rsidRPr="007223FB">
        <w:rPr>
          <w:lang w:eastAsia="es-GT"/>
        </w:rPr>
        <w:t xml:space="preserve"> con</w:t>
      </w:r>
      <w:r w:rsidRPr="007223FB">
        <w:rPr>
          <w:lang w:eastAsia="es-GT"/>
        </w:rPr>
        <w:t xml:space="preserve"> base a las estrategias implementadas en el Plan Estratégico Institucional –PEI- se vincula a este resultado por medio de las acciones que plantea la Línea Estratégica denominada “Prioridad Cambio Climático” a través de dos productos; el primero denominado </w:t>
      </w:r>
      <w:r w:rsidRPr="007223FB">
        <w:rPr>
          <w:i/>
          <w:lang w:eastAsia="es-GT"/>
        </w:rPr>
        <w:t>“Emisión de licencias, resoluciones e informes ambientales”</w:t>
      </w:r>
      <w:r w:rsidRPr="007223FB">
        <w:rPr>
          <w:lang w:eastAsia="es-GT"/>
        </w:rPr>
        <w:t xml:space="preserve">, que registra un avance financiero al segundo cuatrimestre de 46.06% (Q. 37.03 millones) y un avance físico de 29.07% equivalentes en emitir 10,391 licencias, resoluciones e informes sobre temas ambientales. El segundo producto </w:t>
      </w:r>
      <w:r w:rsidRPr="007223FB">
        <w:rPr>
          <w:i/>
          <w:lang w:eastAsia="es-GT"/>
        </w:rPr>
        <w:t xml:space="preserve">“Informes sobre las medidas de adaptación y mitigación al cambio climático en Guatemala” </w:t>
      </w:r>
      <w:r w:rsidRPr="007223FB">
        <w:rPr>
          <w:lang w:eastAsia="es-GT"/>
        </w:rPr>
        <w:t xml:space="preserve">registra al segundo cuatrimestre un avance financiero de 27.52% (Q. 12.23 millones) y un avance físico de 15.54% equivalentes en realizar 30 informes de medidas de adaptación y mitigación al cambio climático. </w:t>
      </w:r>
    </w:p>
    <w:p w:rsidR="0069019F" w:rsidRPr="007223FB" w:rsidRDefault="003B613C" w:rsidP="00CE0FD5">
      <w:pPr>
        <w:spacing w:before="120" w:after="120" w:line="240" w:lineRule="auto"/>
        <w:rPr>
          <w:b/>
          <w:lang w:eastAsia="es-GT"/>
        </w:rPr>
      </w:pPr>
      <w:r w:rsidRPr="007223FB">
        <w:rPr>
          <w:lang w:eastAsia="es-GT"/>
        </w:rPr>
        <w:t>Sin embargo actualmente no existen indicadores de impacto para este resultado, puesto que no se han definido las variables del Índice de Vulnerabilidad Climática para el país, de esa cuenta las acciones expuestas por el MARN no permiten comparar si las intervenciones propuestas, están teniendo la eficacia necesaria para reducir la vulnerabilidad e incrementar la capacidad de resiliencia del país, ante los efectos producidos por el Cambio Climático.</w:t>
      </w:r>
    </w:p>
    <w:p w:rsidR="00792BC5" w:rsidRPr="006F723D" w:rsidRDefault="006F723D" w:rsidP="006F723D">
      <w:pPr>
        <w:pStyle w:val="Ttulo3"/>
        <w:numPr>
          <w:ilvl w:val="0"/>
          <w:numId w:val="0"/>
        </w:numPr>
        <w:tabs>
          <w:tab w:val="left" w:pos="1985"/>
        </w:tabs>
        <w:ind w:left="1560" w:hanging="709"/>
      </w:pPr>
      <w:bookmarkStart w:id="34" w:name="_Toc19527435"/>
      <w:r>
        <w:lastRenderedPageBreak/>
        <w:t>2.3.9</w:t>
      </w:r>
      <w:r>
        <w:tab/>
      </w:r>
      <w:r w:rsidR="0069019F" w:rsidRPr="006F723D">
        <w:t>Para el 2019, se ha incrementado la participación de la energía renovable en la matriz energética en 5 puntos porcentuales (De 64.94% en 2014 a 69.4% en 2019).</w:t>
      </w:r>
      <w:bookmarkEnd w:id="34"/>
    </w:p>
    <w:p w:rsidR="003B613C" w:rsidRPr="007223FB" w:rsidRDefault="003B613C" w:rsidP="00CE0FD5">
      <w:pPr>
        <w:spacing w:before="120" w:after="120" w:line="240" w:lineRule="auto"/>
      </w:pPr>
      <w:r w:rsidRPr="007223FB">
        <w:rPr>
          <w:b/>
        </w:rPr>
        <w:t xml:space="preserve">El </w:t>
      </w:r>
      <w:r w:rsidRPr="007223FB">
        <w:t xml:space="preserve">Ministerio de Energía y Minas –MEM- le corresponde atender lo relativo al régimen jurídico aplicable a la producción, distribución y comercialización de la energía, los hidrocarburos y la explotación de los recursos mineros. De esa cuenta da respuesta al Resultado Estratégico de París, mediante la promoción de acciones de inversión en generación de energía eléctrica con recursos renovables para incrementar los Giga Watts por hora (GWh) en la matriz energética del país, en ese sentido se han elaborado y publicaron diferentes planes y herramientas que contribuyen al cumplimiento del Resultado Estratégico de País como a la Política Energética 2013-2027 y al Plan Nacional de Energía 2017-2032. Derivado de estos esfuerzos se ha logrado un porcentaje efectivo de energía renovable del </w:t>
      </w:r>
      <w:r w:rsidRPr="007223FB">
        <w:rPr>
          <w:b/>
        </w:rPr>
        <w:t xml:space="preserve">61.74% </w:t>
      </w:r>
      <w:r w:rsidRPr="007223FB">
        <w:t>al 2018 como se muestra a continuación:</w:t>
      </w:r>
    </w:p>
    <w:p w:rsidR="003B613C" w:rsidRPr="00A17383" w:rsidRDefault="003B613C" w:rsidP="00A17383">
      <w:pPr>
        <w:pStyle w:val="Ttulo4"/>
        <w:numPr>
          <w:ilvl w:val="0"/>
          <w:numId w:val="0"/>
        </w:numPr>
        <w:ind w:left="864"/>
        <w:rPr>
          <w:rFonts w:ascii="Candara" w:hAnsi="Candara"/>
          <w:b/>
          <w:color w:val="auto"/>
          <w:sz w:val="18"/>
        </w:rPr>
      </w:pPr>
      <w:bookmarkStart w:id="35" w:name="_Toc19524688"/>
      <w:r w:rsidRPr="00A17383">
        <w:rPr>
          <w:rFonts w:ascii="Candara" w:hAnsi="Candara"/>
          <w:b/>
          <w:color w:val="auto"/>
          <w:sz w:val="18"/>
        </w:rPr>
        <w:t xml:space="preserve">Cuadro </w:t>
      </w:r>
      <w:r w:rsidR="00A17383">
        <w:rPr>
          <w:rFonts w:ascii="Candara" w:hAnsi="Candara"/>
          <w:b/>
          <w:color w:val="auto"/>
          <w:sz w:val="18"/>
        </w:rPr>
        <w:t>2</w:t>
      </w:r>
      <w:r w:rsidR="00A17383">
        <w:rPr>
          <w:rFonts w:ascii="Candara" w:hAnsi="Candara"/>
          <w:b/>
          <w:color w:val="auto"/>
          <w:sz w:val="18"/>
        </w:rPr>
        <w:br/>
      </w:r>
      <w:r w:rsidRPr="00A17383">
        <w:rPr>
          <w:rFonts w:ascii="Candara" w:hAnsi="Candara"/>
          <w:b/>
          <w:color w:val="auto"/>
          <w:sz w:val="18"/>
        </w:rPr>
        <w:t>Generación Eléct</w:t>
      </w:r>
      <w:r w:rsidR="002A71A7" w:rsidRPr="00A17383">
        <w:rPr>
          <w:rFonts w:ascii="Candara" w:hAnsi="Candara"/>
          <w:b/>
          <w:color w:val="auto"/>
          <w:sz w:val="18"/>
        </w:rPr>
        <w:t>rica por tipo de Recurso en GWh</w:t>
      </w:r>
      <w:bookmarkEnd w:id="35"/>
    </w:p>
    <w:tbl>
      <w:tblPr>
        <w:tblStyle w:val="Tabladecuadrcula5oscura-nfasis11"/>
        <w:tblpPr w:leftFromText="142" w:rightFromText="142" w:vertAnchor="text" w:horzAnchor="margin" w:tblpY="1"/>
        <w:tblW w:w="0" w:type="auto"/>
        <w:tblLayout w:type="fixed"/>
        <w:tblLook w:val="04A0" w:firstRow="1" w:lastRow="0" w:firstColumn="1" w:lastColumn="0" w:noHBand="0" w:noVBand="1"/>
      </w:tblPr>
      <w:tblGrid>
        <w:gridCol w:w="2373"/>
        <w:gridCol w:w="1450"/>
        <w:gridCol w:w="1417"/>
        <w:gridCol w:w="1276"/>
        <w:gridCol w:w="1276"/>
        <w:gridCol w:w="1249"/>
      </w:tblGrid>
      <w:tr w:rsidR="003B613C" w:rsidRPr="006F723D" w:rsidTr="00B623F5">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3" w:type="dxa"/>
            <w:vMerge w:val="restart"/>
          </w:tcPr>
          <w:p w:rsidR="003B613C" w:rsidRPr="006F723D" w:rsidRDefault="003B613C" w:rsidP="00B623F5">
            <w:pPr>
              <w:tabs>
                <w:tab w:val="center" w:pos="4362"/>
              </w:tabs>
              <w:jc w:val="center"/>
              <w:rPr>
                <w:rFonts w:eastAsia="Times New Roman" w:cs="Times New Roman"/>
                <w:sz w:val="18"/>
                <w:lang w:eastAsia="es-ES"/>
              </w:rPr>
            </w:pPr>
            <w:r w:rsidRPr="006F723D">
              <w:rPr>
                <w:rFonts w:eastAsia="Times New Roman" w:cs="Times New Roman"/>
                <w:sz w:val="18"/>
                <w:lang w:eastAsia="es-ES"/>
              </w:rPr>
              <w:t xml:space="preserve">Tipo de Energía </w:t>
            </w:r>
          </w:p>
        </w:tc>
        <w:tc>
          <w:tcPr>
            <w:tcW w:w="6668" w:type="dxa"/>
            <w:gridSpan w:val="5"/>
          </w:tcPr>
          <w:p w:rsidR="003B613C" w:rsidRPr="006F723D" w:rsidRDefault="003B613C" w:rsidP="00B623F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 xml:space="preserve">Año </w:t>
            </w:r>
          </w:p>
        </w:tc>
      </w:tr>
      <w:tr w:rsidR="003B613C" w:rsidRPr="006F723D" w:rsidTr="00B623F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373" w:type="dxa"/>
            <w:vMerge/>
          </w:tcPr>
          <w:p w:rsidR="003B613C" w:rsidRPr="006F723D" w:rsidRDefault="003B613C" w:rsidP="00B623F5">
            <w:pPr>
              <w:tabs>
                <w:tab w:val="center" w:pos="4362"/>
              </w:tabs>
              <w:jc w:val="center"/>
              <w:rPr>
                <w:rFonts w:eastAsia="Times New Roman" w:cs="Times New Roman"/>
                <w:sz w:val="18"/>
                <w:lang w:eastAsia="es-ES"/>
              </w:rPr>
            </w:pPr>
          </w:p>
        </w:tc>
        <w:tc>
          <w:tcPr>
            <w:tcW w:w="1450"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2015</w:t>
            </w:r>
          </w:p>
        </w:tc>
        <w:tc>
          <w:tcPr>
            <w:tcW w:w="1417"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2016</w:t>
            </w:r>
          </w:p>
        </w:tc>
        <w:tc>
          <w:tcPr>
            <w:tcW w:w="1276"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2017</w:t>
            </w:r>
          </w:p>
        </w:tc>
        <w:tc>
          <w:tcPr>
            <w:tcW w:w="1276"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2018</w:t>
            </w:r>
          </w:p>
        </w:tc>
        <w:tc>
          <w:tcPr>
            <w:tcW w:w="1249"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2019</w:t>
            </w:r>
          </w:p>
        </w:tc>
      </w:tr>
      <w:tr w:rsidR="003B613C" w:rsidRPr="006F723D" w:rsidTr="00B623F5">
        <w:trPr>
          <w:trHeight w:val="211"/>
        </w:trPr>
        <w:tc>
          <w:tcPr>
            <w:cnfStyle w:val="001000000000" w:firstRow="0" w:lastRow="0" w:firstColumn="1" w:lastColumn="0" w:oddVBand="0" w:evenVBand="0" w:oddHBand="0" w:evenHBand="0" w:firstRowFirstColumn="0" w:firstRowLastColumn="0" w:lastRowFirstColumn="0" w:lastRowLastColumn="0"/>
            <w:tcW w:w="2373" w:type="dxa"/>
          </w:tcPr>
          <w:p w:rsidR="003B613C" w:rsidRPr="006F723D" w:rsidRDefault="003B613C" w:rsidP="00B623F5">
            <w:pPr>
              <w:tabs>
                <w:tab w:val="center" w:pos="4362"/>
              </w:tabs>
              <w:rPr>
                <w:rFonts w:eastAsia="Times New Roman" w:cs="Times New Roman"/>
                <w:sz w:val="18"/>
                <w:lang w:eastAsia="es-ES"/>
              </w:rPr>
            </w:pPr>
            <w:r w:rsidRPr="006F723D">
              <w:rPr>
                <w:rFonts w:eastAsia="Times New Roman" w:cs="Times New Roman"/>
                <w:sz w:val="18"/>
                <w:lang w:eastAsia="es-ES"/>
              </w:rPr>
              <w:t xml:space="preserve">RENOVABLE </w:t>
            </w:r>
          </w:p>
        </w:tc>
        <w:tc>
          <w:tcPr>
            <w:tcW w:w="1450"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6F723D">
              <w:rPr>
                <w:rFonts w:eastAsia="Calibri" w:cs="Arial"/>
                <w:sz w:val="18"/>
              </w:rPr>
              <w:t>5,967.39</w:t>
            </w:r>
          </w:p>
        </w:tc>
        <w:tc>
          <w:tcPr>
            <w:tcW w:w="1417"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6,425.29</w:t>
            </w:r>
          </w:p>
        </w:tc>
        <w:tc>
          <w:tcPr>
            <w:tcW w:w="1276"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8,029.86</w:t>
            </w:r>
          </w:p>
        </w:tc>
        <w:tc>
          <w:tcPr>
            <w:tcW w:w="1276"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7,30.78</w:t>
            </w:r>
          </w:p>
        </w:tc>
        <w:tc>
          <w:tcPr>
            <w:tcW w:w="1249"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7,285.59</w:t>
            </w:r>
          </w:p>
        </w:tc>
      </w:tr>
      <w:tr w:rsidR="003B613C" w:rsidRPr="006F723D" w:rsidTr="00B623F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373" w:type="dxa"/>
          </w:tcPr>
          <w:p w:rsidR="003B613C" w:rsidRPr="006F723D" w:rsidRDefault="003B613C" w:rsidP="00B623F5">
            <w:pPr>
              <w:tabs>
                <w:tab w:val="center" w:pos="4362"/>
              </w:tabs>
              <w:rPr>
                <w:rFonts w:eastAsia="Calibri" w:cs="Arial"/>
                <w:sz w:val="18"/>
              </w:rPr>
            </w:pPr>
            <w:r w:rsidRPr="006F723D">
              <w:rPr>
                <w:rFonts w:eastAsia="Calibri" w:cs="Arial"/>
                <w:sz w:val="18"/>
              </w:rPr>
              <w:t xml:space="preserve">NO RENOVABLE </w:t>
            </w:r>
          </w:p>
        </w:tc>
        <w:tc>
          <w:tcPr>
            <w:tcW w:w="1450"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6F723D">
              <w:rPr>
                <w:rFonts w:eastAsia="Calibri" w:cs="Arial"/>
                <w:sz w:val="18"/>
              </w:rPr>
              <w:t>4,334.48</w:t>
            </w:r>
          </w:p>
        </w:tc>
        <w:tc>
          <w:tcPr>
            <w:tcW w:w="1417"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4,452.62</w:t>
            </w:r>
          </w:p>
        </w:tc>
        <w:tc>
          <w:tcPr>
            <w:tcW w:w="1276" w:type="dxa"/>
          </w:tcPr>
          <w:p w:rsidR="003B613C" w:rsidRPr="006F723D" w:rsidRDefault="003B613C" w:rsidP="00B623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3,460.04</w:t>
            </w:r>
          </w:p>
        </w:tc>
        <w:tc>
          <w:tcPr>
            <w:tcW w:w="1276"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4,791.86</w:t>
            </w:r>
          </w:p>
        </w:tc>
        <w:tc>
          <w:tcPr>
            <w:tcW w:w="1249"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5,039.89</w:t>
            </w:r>
          </w:p>
        </w:tc>
      </w:tr>
      <w:tr w:rsidR="003B613C" w:rsidRPr="006F723D" w:rsidTr="00B623F5">
        <w:trPr>
          <w:trHeight w:val="132"/>
        </w:trPr>
        <w:tc>
          <w:tcPr>
            <w:cnfStyle w:val="001000000000" w:firstRow="0" w:lastRow="0" w:firstColumn="1" w:lastColumn="0" w:oddVBand="0" w:evenVBand="0" w:oddHBand="0" w:evenHBand="0" w:firstRowFirstColumn="0" w:firstRowLastColumn="0" w:lastRowFirstColumn="0" w:lastRowLastColumn="0"/>
            <w:tcW w:w="2373" w:type="dxa"/>
          </w:tcPr>
          <w:p w:rsidR="003B613C" w:rsidRPr="006F723D" w:rsidRDefault="003B613C" w:rsidP="00B623F5">
            <w:pPr>
              <w:tabs>
                <w:tab w:val="center" w:pos="4362"/>
              </w:tabs>
              <w:rPr>
                <w:rFonts w:eastAsia="Calibri" w:cs="Arial"/>
                <w:sz w:val="18"/>
              </w:rPr>
            </w:pPr>
            <w:r w:rsidRPr="006F723D">
              <w:rPr>
                <w:rFonts w:eastAsia="Calibri" w:cs="Arial"/>
                <w:sz w:val="18"/>
              </w:rPr>
              <w:t>TOTAL</w:t>
            </w:r>
          </w:p>
        </w:tc>
        <w:tc>
          <w:tcPr>
            <w:tcW w:w="1450"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b/>
                <w:sz w:val="18"/>
              </w:rPr>
            </w:pPr>
            <w:r w:rsidRPr="006F723D">
              <w:rPr>
                <w:rFonts w:eastAsia="Calibri" w:cs="Arial"/>
                <w:b/>
                <w:sz w:val="18"/>
              </w:rPr>
              <w:t>10,301.87</w:t>
            </w:r>
          </w:p>
        </w:tc>
        <w:tc>
          <w:tcPr>
            <w:tcW w:w="1417"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lang w:eastAsia="es-ES"/>
              </w:rPr>
            </w:pPr>
            <w:r w:rsidRPr="006F723D">
              <w:rPr>
                <w:rFonts w:eastAsia="Times New Roman" w:cs="Times New Roman"/>
                <w:b/>
                <w:sz w:val="18"/>
                <w:lang w:eastAsia="es-ES"/>
              </w:rPr>
              <w:t>10,877.97</w:t>
            </w:r>
          </w:p>
        </w:tc>
        <w:tc>
          <w:tcPr>
            <w:tcW w:w="1276" w:type="dxa"/>
          </w:tcPr>
          <w:p w:rsidR="003B613C" w:rsidRPr="006F723D" w:rsidRDefault="003B613C" w:rsidP="00B623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lang w:eastAsia="es-ES"/>
              </w:rPr>
            </w:pPr>
            <w:r w:rsidRPr="006F723D">
              <w:rPr>
                <w:rFonts w:eastAsia="Times New Roman" w:cs="Times New Roman"/>
                <w:b/>
                <w:sz w:val="18"/>
                <w:lang w:eastAsia="es-ES"/>
              </w:rPr>
              <w:t>11,489.90</w:t>
            </w:r>
          </w:p>
        </w:tc>
        <w:tc>
          <w:tcPr>
            <w:tcW w:w="1276"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lang w:eastAsia="es-ES"/>
              </w:rPr>
            </w:pPr>
            <w:r w:rsidRPr="006F723D">
              <w:rPr>
                <w:rFonts w:eastAsia="Times New Roman" w:cs="Times New Roman"/>
                <w:b/>
                <w:sz w:val="18"/>
                <w:lang w:eastAsia="es-ES"/>
              </w:rPr>
              <w:t>12,522.39</w:t>
            </w:r>
          </w:p>
        </w:tc>
        <w:tc>
          <w:tcPr>
            <w:tcW w:w="1249"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sz w:val="18"/>
                <w:lang w:eastAsia="es-ES"/>
              </w:rPr>
            </w:pPr>
            <w:r w:rsidRPr="006F723D">
              <w:rPr>
                <w:rFonts w:eastAsia="Times New Roman" w:cs="Times New Roman"/>
                <w:b/>
                <w:sz w:val="18"/>
                <w:lang w:eastAsia="es-ES"/>
              </w:rPr>
              <w:t>12,325.48</w:t>
            </w:r>
          </w:p>
        </w:tc>
      </w:tr>
      <w:tr w:rsidR="003B613C" w:rsidRPr="006F723D" w:rsidTr="00B623F5">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373" w:type="dxa"/>
          </w:tcPr>
          <w:p w:rsidR="003B613C" w:rsidRPr="006F723D" w:rsidRDefault="003B613C" w:rsidP="00B623F5">
            <w:pPr>
              <w:tabs>
                <w:tab w:val="center" w:pos="4362"/>
              </w:tabs>
              <w:rPr>
                <w:rFonts w:eastAsia="Calibri" w:cs="Arial"/>
                <w:sz w:val="18"/>
              </w:rPr>
            </w:pPr>
            <w:r w:rsidRPr="006F723D">
              <w:rPr>
                <w:rFonts w:eastAsia="Calibri" w:cs="Arial"/>
                <w:sz w:val="18"/>
              </w:rPr>
              <w:t xml:space="preserve">% EFECTIVO DE ENERGÍA RENOVABLE </w:t>
            </w:r>
          </w:p>
        </w:tc>
        <w:tc>
          <w:tcPr>
            <w:tcW w:w="1450"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rPr>
            </w:pPr>
            <w:r w:rsidRPr="006F723D">
              <w:rPr>
                <w:rFonts w:eastAsia="Calibri" w:cs="Arial"/>
                <w:sz w:val="18"/>
              </w:rPr>
              <w:t>57.93%</w:t>
            </w:r>
          </w:p>
        </w:tc>
        <w:tc>
          <w:tcPr>
            <w:tcW w:w="1417"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59.07%</w:t>
            </w:r>
          </w:p>
        </w:tc>
        <w:tc>
          <w:tcPr>
            <w:tcW w:w="1276" w:type="dxa"/>
          </w:tcPr>
          <w:p w:rsidR="003B613C" w:rsidRPr="006F723D" w:rsidRDefault="003B613C" w:rsidP="00B623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69.89%</w:t>
            </w:r>
          </w:p>
        </w:tc>
        <w:tc>
          <w:tcPr>
            <w:tcW w:w="1276"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sz w:val="18"/>
                <w:lang w:eastAsia="es-ES"/>
              </w:rPr>
            </w:pPr>
            <w:r w:rsidRPr="006F723D">
              <w:rPr>
                <w:rFonts w:eastAsia="Times New Roman" w:cs="Times New Roman"/>
                <w:b/>
                <w:sz w:val="18"/>
                <w:lang w:eastAsia="es-ES"/>
              </w:rPr>
              <w:t>61.74%</w:t>
            </w:r>
          </w:p>
        </w:tc>
        <w:tc>
          <w:tcPr>
            <w:tcW w:w="1249" w:type="dxa"/>
          </w:tcPr>
          <w:p w:rsidR="003B613C" w:rsidRPr="006F723D" w:rsidRDefault="003B613C" w:rsidP="00B623F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59.11%</w:t>
            </w:r>
          </w:p>
        </w:tc>
      </w:tr>
      <w:tr w:rsidR="003B613C" w:rsidRPr="006F723D" w:rsidTr="00B623F5">
        <w:trPr>
          <w:trHeight w:val="132"/>
        </w:trPr>
        <w:tc>
          <w:tcPr>
            <w:cnfStyle w:val="001000000000" w:firstRow="0" w:lastRow="0" w:firstColumn="1" w:lastColumn="0" w:oddVBand="0" w:evenVBand="0" w:oddHBand="0" w:evenHBand="0" w:firstRowFirstColumn="0" w:firstRowLastColumn="0" w:lastRowFirstColumn="0" w:lastRowLastColumn="0"/>
            <w:tcW w:w="2373" w:type="dxa"/>
          </w:tcPr>
          <w:p w:rsidR="003B613C" w:rsidRPr="006F723D" w:rsidRDefault="003B613C" w:rsidP="00B623F5">
            <w:pPr>
              <w:tabs>
                <w:tab w:val="center" w:pos="4362"/>
              </w:tabs>
              <w:rPr>
                <w:rFonts w:eastAsia="Times New Roman" w:cs="Times New Roman"/>
                <w:sz w:val="18"/>
                <w:lang w:eastAsia="es-ES"/>
              </w:rPr>
            </w:pPr>
            <w:r w:rsidRPr="006F723D">
              <w:rPr>
                <w:rFonts w:eastAsia="Times New Roman" w:cs="Times New Roman"/>
                <w:sz w:val="18"/>
                <w:lang w:eastAsia="es-ES"/>
              </w:rPr>
              <w:t xml:space="preserve">% PROYECTADO DE ENERGÍA RENOVABLE </w:t>
            </w:r>
          </w:p>
        </w:tc>
        <w:tc>
          <w:tcPr>
            <w:tcW w:w="1450"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rPr>
            </w:pPr>
            <w:r w:rsidRPr="006F723D">
              <w:rPr>
                <w:rFonts w:eastAsia="Calibri" w:cs="Arial"/>
                <w:sz w:val="18"/>
              </w:rPr>
              <w:t>57.93</w:t>
            </w:r>
          </w:p>
        </w:tc>
        <w:tc>
          <w:tcPr>
            <w:tcW w:w="1417"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58.36</w:t>
            </w:r>
          </w:p>
        </w:tc>
        <w:tc>
          <w:tcPr>
            <w:tcW w:w="1276"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58.61</w:t>
            </w:r>
          </w:p>
        </w:tc>
        <w:tc>
          <w:tcPr>
            <w:tcW w:w="1276"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58.86</w:t>
            </w:r>
          </w:p>
        </w:tc>
        <w:tc>
          <w:tcPr>
            <w:tcW w:w="1249" w:type="dxa"/>
          </w:tcPr>
          <w:p w:rsidR="003B613C" w:rsidRPr="006F723D" w:rsidRDefault="003B613C" w:rsidP="00B623F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lang w:eastAsia="es-ES"/>
              </w:rPr>
            </w:pPr>
            <w:r w:rsidRPr="006F723D">
              <w:rPr>
                <w:rFonts w:eastAsia="Times New Roman" w:cs="Times New Roman"/>
                <w:sz w:val="18"/>
                <w:lang w:eastAsia="es-ES"/>
              </w:rPr>
              <w:t>59.11</w:t>
            </w:r>
          </w:p>
        </w:tc>
      </w:tr>
    </w:tbl>
    <w:p w:rsidR="003B613C" w:rsidRPr="007223FB" w:rsidRDefault="003B613C" w:rsidP="003B613C">
      <w:pPr>
        <w:spacing w:after="0" w:line="240" w:lineRule="auto"/>
        <w:rPr>
          <w:rFonts w:eastAsia="Calibri" w:cs="Candara"/>
          <w:lang w:eastAsia="es-GT"/>
        </w:rPr>
      </w:pPr>
      <w:r w:rsidRPr="007223FB">
        <w:rPr>
          <w:rFonts w:eastAsia="Calibri" w:cs="Candara"/>
          <w:lang w:eastAsia="es-GT"/>
        </w:rPr>
        <w:t>Fuente: Elaboración SEGEPLAN con base en datos de la Memoria de Labores 2018-2019 del Ministerio de Energía y Minas –MEM-</w:t>
      </w:r>
    </w:p>
    <w:p w:rsidR="003B613C" w:rsidRPr="007223FB" w:rsidRDefault="003B613C" w:rsidP="002A71A7">
      <w:pPr>
        <w:spacing w:before="120" w:after="120" w:line="240" w:lineRule="auto"/>
      </w:pPr>
      <w:r w:rsidRPr="007223FB">
        <w:t xml:space="preserve">El cuadro anterior muestra un claro aumento de la participación de la energía renovable en la matriz energética, destacando el año 2017 donde se incrementó considerablemente, superando por más de diez puntos porcentuales a la proyección que se tenía para ese año. De esa forma el indicador muestra una tendencia al alza, que evidencia un cambio positivo  que contribuye al alcance de la meta. </w:t>
      </w:r>
    </w:p>
    <w:p w:rsidR="003B613C" w:rsidRPr="007223FB" w:rsidRDefault="003B613C" w:rsidP="002A71A7">
      <w:pPr>
        <w:spacing w:before="120" w:after="120" w:line="240" w:lineRule="auto"/>
      </w:pPr>
      <w:r w:rsidRPr="007223FB">
        <w:t xml:space="preserve">El producto que el MEM vincula al resultado se denomina “Informes y promoción de proyectos de generación de energía renovable”, el cual registra al segundo cuatrimestre un avance financiero de 60.28% (Q. 0.52 millones) y un avance físico de 61.50% equivalentes en la divulgación de la medición de 4,481 Gwh de generación de energía eléctrica proveniente de recursos renovables. Sin embargo este producto sufrió un decremento de 38.16% al reprogramar la meta financiera, por lo que ha afectado la calidad de la entrega del producto, puesto que la meta física no fue afectada. </w:t>
      </w:r>
    </w:p>
    <w:p w:rsidR="003B613C" w:rsidRPr="007223FB" w:rsidRDefault="003B613C" w:rsidP="002A71A7">
      <w:pPr>
        <w:spacing w:before="120" w:after="120" w:line="240" w:lineRule="auto"/>
      </w:pPr>
      <w:r w:rsidRPr="007223FB">
        <w:t>En este Resultado Estratégico participa también el Instituto Nacional de Electrificación –INDE-</w:t>
      </w:r>
      <w:r w:rsidRPr="007223FB">
        <w:rPr>
          <w:b/>
        </w:rPr>
        <w:t xml:space="preserve"> </w:t>
      </w:r>
      <w:r w:rsidRPr="007223FB">
        <w:t xml:space="preserve">por medio del producto denominado “Servicios de Generación de Energía Eléctrica” el cual registró un avance financiero al segundo cuatrimestre de 39.83% (Q. 77.23 millones) y un avance físico de 43.27% que equivale a 875.52 Gwh de una meta anual de 2,023.53 Gwh, provenientes de la generación de energía de las hidroeléctricas de Oriente, Palin, Jurún Marinala, Aguacapa, De Occidente y Chixoy. </w:t>
      </w:r>
    </w:p>
    <w:p w:rsidR="003B613C" w:rsidRPr="007223FB" w:rsidRDefault="003B613C" w:rsidP="002A71A7">
      <w:pPr>
        <w:spacing w:before="120" w:after="120" w:line="240" w:lineRule="auto"/>
      </w:pPr>
      <w:r w:rsidRPr="007223FB">
        <w:t xml:space="preserve">De acuerdo al Plan Nacional de Energía 2017-2032 para tener una matriz energética diversificada, orientada a la utilización de los recursos renovables, es necesario añadir nuevas centrales de generación eléctrica al parque de generación del país. La incorporación de estas nuevas centrales de generación que utilicen los recursos energéticos renovables; tales como el recurso hídrico, la energía solar, eólica, geotérmica y el potencial de la biomasa, ayudarán a cubrir la demanda de energía eléctrica hacia el año 2032.  </w:t>
      </w:r>
    </w:p>
    <w:p w:rsidR="003B613C" w:rsidRPr="007223FB" w:rsidRDefault="003B613C" w:rsidP="002A71A7">
      <w:pPr>
        <w:spacing w:before="120" w:after="120" w:line="240" w:lineRule="auto"/>
      </w:pPr>
      <w:r w:rsidRPr="007223FB">
        <w:lastRenderedPageBreak/>
        <w:t xml:space="preserve">Según los Planes Indicativos de Generación y Transmisión del año 2016 y las licitaciones de adición de centrales de energía renovable por parte de la CNEE, la nueva potencia instalada de generación eléctrica que se incorporará al parque de generación, es de 6,102.28 MW, generando un estimado de 16,153 GWH de energía para el año 2032. </w:t>
      </w:r>
    </w:p>
    <w:p w:rsidR="00765ACE" w:rsidRDefault="00765ACE">
      <w:pPr>
        <w:jc w:val="left"/>
        <w:rPr>
          <w:rFonts w:eastAsia="Times New Roman" w:cstheme="majorBidi"/>
          <w:b/>
          <w:color w:val="000000" w:themeColor="text1"/>
          <w:sz w:val="24"/>
          <w:szCs w:val="32"/>
          <w:lang w:val="es-ES" w:eastAsia="es-ES"/>
        </w:rPr>
      </w:pPr>
      <w:r>
        <w:rPr>
          <w:rFonts w:eastAsia="Times New Roman"/>
          <w:i/>
          <w:lang w:val="es-ES" w:eastAsia="es-ES"/>
        </w:rPr>
        <w:br w:type="page"/>
      </w:r>
    </w:p>
    <w:p w:rsidR="00E45CF0" w:rsidRPr="006F723D" w:rsidRDefault="00485ADC" w:rsidP="006F723D">
      <w:pPr>
        <w:pStyle w:val="Ttulo1"/>
        <w:shd w:val="clear" w:color="auto" w:fill="BDD6EE" w:themeFill="accent1" w:themeFillTint="66"/>
        <w:rPr>
          <w:rFonts w:eastAsia="Times New Roman"/>
          <w:i w:val="0"/>
          <w:lang w:val="es-ES" w:eastAsia="es-ES"/>
        </w:rPr>
      </w:pPr>
      <w:bookmarkStart w:id="36" w:name="_Toc19527436"/>
      <w:r w:rsidRPr="006F723D">
        <w:rPr>
          <w:rFonts w:eastAsia="Times New Roman"/>
          <w:i w:val="0"/>
          <w:lang w:val="es-ES" w:eastAsia="es-ES"/>
        </w:rPr>
        <w:lastRenderedPageBreak/>
        <w:t>I</w:t>
      </w:r>
      <w:r w:rsidR="00080194" w:rsidRPr="006F723D">
        <w:rPr>
          <w:rFonts w:eastAsia="Times New Roman"/>
          <w:i w:val="0"/>
          <w:lang w:val="es-ES" w:eastAsia="es-ES"/>
        </w:rPr>
        <w:t>nversión institucional y territorial al cierre del II Cuatrimestre</w:t>
      </w:r>
      <w:bookmarkEnd w:id="36"/>
    </w:p>
    <w:p w:rsidR="007223FB" w:rsidRPr="007223FB" w:rsidRDefault="007223FB" w:rsidP="000B07D9">
      <w:pPr>
        <w:pStyle w:val="Ttulo2"/>
        <w:numPr>
          <w:ilvl w:val="1"/>
          <w:numId w:val="7"/>
        </w:numPr>
        <w:spacing w:before="120" w:after="120" w:line="240" w:lineRule="auto"/>
        <w:rPr>
          <w:szCs w:val="22"/>
        </w:rPr>
      </w:pPr>
      <w:bookmarkStart w:id="37" w:name="_Toc17812371"/>
      <w:bookmarkStart w:id="38" w:name="_Toc17877690"/>
      <w:bookmarkStart w:id="39" w:name="_Toc17878268"/>
      <w:bookmarkStart w:id="40" w:name="_Toc17878404"/>
      <w:bookmarkStart w:id="41" w:name="_Toc17878455"/>
      <w:bookmarkStart w:id="42" w:name="_Toc17882695"/>
      <w:bookmarkStart w:id="43" w:name="_Toc19201208"/>
      <w:bookmarkStart w:id="44" w:name="_Toc19527437"/>
      <w:bookmarkEnd w:id="37"/>
      <w:bookmarkEnd w:id="38"/>
      <w:bookmarkEnd w:id="39"/>
      <w:bookmarkEnd w:id="40"/>
      <w:bookmarkEnd w:id="41"/>
      <w:bookmarkEnd w:id="42"/>
      <w:r w:rsidRPr="007223FB">
        <w:rPr>
          <w:szCs w:val="22"/>
        </w:rPr>
        <w:t>Estructura del Presupuesto del Gasto de Inversión Pública, 2019</w:t>
      </w:r>
      <w:bookmarkEnd w:id="43"/>
      <w:bookmarkEnd w:id="44"/>
    </w:p>
    <w:p w:rsidR="007223FB" w:rsidRPr="007223FB" w:rsidRDefault="007223FB" w:rsidP="00475FEA">
      <w:pPr>
        <w:spacing w:before="120" w:after="120" w:line="240" w:lineRule="auto"/>
        <w:rPr>
          <w:rFonts w:cs="Times New Roman"/>
        </w:rPr>
      </w:pPr>
      <w:r w:rsidRPr="007223FB">
        <w:rPr>
          <w:rFonts w:cs="Times New Roman"/>
        </w:rPr>
        <w:t>El presupuesto de inversión vigente para el Ejercicio Fiscal 2019 es de Q17</w:t>
      </w:r>
      <w:r w:rsidR="00731E55" w:rsidRPr="007223FB">
        <w:rPr>
          <w:rFonts w:cs="Times New Roman"/>
        </w:rPr>
        <w:t>, 585.2 millones</w:t>
      </w:r>
      <w:r w:rsidRPr="007223FB">
        <w:rPr>
          <w:rFonts w:cs="Times New Roman"/>
        </w:rPr>
        <w:t>, 15.8% mayor que el año anterior.  En el presupuesto de gasto de inversión las transferencias de capital son el mayor rubro, el 68.8% del total, y son las municipalidades las más beneficiadas con estos recursos, ellas obtienen generalmente más de  la mitad de dichas transferencias. En el 2019 se asignó a los gobiernos municipales un total de Q7</w:t>
      </w:r>
      <w:r w:rsidR="00731E55" w:rsidRPr="007223FB">
        <w:rPr>
          <w:rFonts w:cs="Times New Roman"/>
        </w:rPr>
        <w:t>, 645.5</w:t>
      </w:r>
      <w:r w:rsidRPr="007223FB">
        <w:rPr>
          <w:rFonts w:cs="Times New Roman"/>
        </w:rPr>
        <w:t xml:space="preserve"> millones destinados a proyectos de inversión pública (63.1% del total de las transferencias), mientras el gobierno central recibió aproximadamente Q5</w:t>
      </w:r>
      <w:r w:rsidR="00731E55">
        <w:rPr>
          <w:rFonts w:cs="Times New Roman"/>
        </w:rPr>
        <w:t>,</w:t>
      </w:r>
      <w:r w:rsidR="00731E55" w:rsidRPr="007223FB">
        <w:rPr>
          <w:rFonts w:cs="Times New Roman"/>
        </w:rPr>
        <w:t>453.2</w:t>
      </w:r>
      <w:r w:rsidRPr="007223FB">
        <w:rPr>
          <w:rFonts w:cs="Times New Roman"/>
        </w:rPr>
        <w:t xml:space="preserve"> millones, el cual respecto al del año anterior fue superior en 21.3%.  </w:t>
      </w:r>
    </w:p>
    <w:p w:rsidR="007223FB" w:rsidRPr="007223FB" w:rsidRDefault="007223FB" w:rsidP="00475FEA">
      <w:pPr>
        <w:spacing w:before="120" w:after="120" w:line="240" w:lineRule="auto"/>
        <w:rPr>
          <w:rFonts w:cs="Times New Roman"/>
        </w:rPr>
      </w:pPr>
      <w:r w:rsidRPr="007223FB">
        <w:rPr>
          <w:rFonts w:cs="Times New Roman"/>
        </w:rPr>
        <w:t xml:space="preserve">Los Consejos Municipales de Desarrollo en 2019 recibieron una asignación que representa el 21.8% de las transferencias de capital y el 15.1% del total del gasto de inversión.   </w:t>
      </w:r>
    </w:p>
    <w:p w:rsidR="007223FB" w:rsidRPr="007223FB" w:rsidRDefault="007223FB" w:rsidP="00475FEA">
      <w:pPr>
        <w:spacing w:before="120" w:after="120" w:line="240" w:lineRule="auto"/>
        <w:rPr>
          <w:rFonts w:cs="Times New Roman"/>
        </w:rPr>
      </w:pPr>
      <w:r w:rsidRPr="007223FB">
        <w:rPr>
          <w:rFonts w:cs="Times New Roman"/>
        </w:rPr>
        <w:t xml:space="preserve">Equipamiento e inversión financiera son los rubros más pequeños del gasto de capital. En el 2019  equipamiento tuvo una variación negativa del -0.2%: Sin embargo,  el crecimiento de la inversión financiera fue negativo en 58.8%. </w:t>
      </w:r>
    </w:p>
    <w:p w:rsidR="007223FB" w:rsidRPr="007223FB" w:rsidRDefault="007223FB" w:rsidP="00475FEA">
      <w:pPr>
        <w:spacing w:before="120" w:after="120" w:line="240" w:lineRule="auto"/>
        <w:rPr>
          <w:rFonts w:cs="Times New Roman"/>
        </w:rPr>
      </w:pPr>
      <w:r w:rsidRPr="007223FB">
        <w:rPr>
          <w:rFonts w:cs="Times New Roman"/>
        </w:rPr>
        <w:t xml:space="preserve">En 2019 el rubro inversión física, que representa la infraestructura y equipamiento que tiene programado realizar el gobierno central, representa el 31.0%  del total, incluye la formación bruta de capital, los terrenos e intangibles y el equipamiento.  Con respecto al año anterior (2018) su presupuesto aumentó en un 21.3%. </w:t>
      </w:r>
    </w:p>
    <w:p w:rsidR="007223FB" w:rsidRPr="007223FB" w:rsidRDefault="007223FB" w:rsidP="00475FEA">
      <w:pPr>
        <w:spacing w:before="120" w:after="120" w:line="240" w:lineRule="auto"/>
        <w:rPr>
          <w:rFonts w:cs="Times New Roman"/>
        </w:rPr>
      </w:pPr>
      <w:r w:rsidRPr="007223FB">
        <w:rPr>
          <w:rFonts w:cs="Times New Roman"/>
        </w:rPr>
        <w:t>En términos generales el cambio más importante en la estructura del presupuesto de gasto de capital fue un crecimiento del 21.3% en infraestructura física del gobierno central, que prácticamente fue restado a las transferencias a las empresas de gobierno, descentralizadas y autónomas. (Ver  cuadro 1)</w:t>
      </w:r>
    </w:p>
    <w:p w:rsidR="007223FB" w:rsidRPr="00A17383" w:rsidRDefault="007223FB" w:rsidP="00A17383">
      <w:pPr>
        <w:pStyle w:val="Ttulo4"/>
        <w:numPr>
          <w:ilvl w:val="0"/>
          <w:numId w:val="0"/>
        </w:numPr>
        <w:ind w:left="864"/>
        <w:rPr>
          <w:rFonts w:ascii="Candara" w:hAnsi="Candara"/>
          <w:b/>
          <w:color w:val="auto"/>
          <w:sz w:val="18"/>
        </w:rPr>
      </w:pPr>
      <w:bookmarkStart w:id="45" w:name="_Toc19524689"/>
      <w:r w:rsidRPr="00A17383">
        <w:rPr>
          <w:rFonts w:ascii="Candara" w:hAnsi="Candara"/>
          <w:b/>
          <w:color w:val="auto"/>
          <w:sz w:val="18"/>
        </w:rPr>
        <w:t>Cuadro</w:t>
      </w:r>
      <w:r w:rsidR="00A17383">
        <w:rPr>
          <w:rFonts w:ascii="Candara" w:hAnsi="Candara"/>
          <w:b/>
          <w:color w:val="auto"/>
          <w:sz w:val="18"/>
        </w:rPr>
        <w:t xml:space="preserve"> 3</w:t>
      </w:r>
      <w:r w:rsidR="00A17383">
        <w:rPr>
          <w:rFonts w:ascii="Candara" w:hAnsi="Candara"/>
          <w:b/>
          <w:color w:val="auto"/>
          <w:sz w:val="18"/>
        </w:rPr>
        <w:br/>
      </w:r>
      <w:r w:rsidRPr="00A17383">
        <w:rPr>
          <w:rFonts w:ascii="Candara" w:hAnsi="Candara"/>
          <w:b/>
          <w:color w:val="auto"/>
          <w:sz w:val="18"/>
        </w:rPr>
        <w:t>Estructura del gasto de inversión pública</w:t>
      </w:r>
      <w:r w:rsidR="00A17383">
        <w:rPr>
          <w:rFonts w:ascii="Candara" w:hAnsi="Candara"/>
          <w:b/>
          <w:color w:val="auto"/>
          <w:sz w:val="18"/>
        </w:rPr>
        <w:br/>
      </w:r>
      <w:r w:rsidRPr="00A17383">
        <w:rPr>
          <w:rFonts w:ascii="Candara" w:hAnsi="Candara"/>
          <w:b/>
          <w:color w:val="auto"/>
          <w:sz w:val="18"/>
        </w:rPr>
        <w:t>Años 2018 – 2019</w:t>
      </w:r>
      <w:r w:rsidR="00A17383">
        <w:rPr>
          <w:rFonts w:ascii="Candara" w:hAnsi="Candara"/>
          <w:b/>
          <w:color w:val="auto"/>
          <w:sz w:val="18"/>
        </w:rPr>
        <w:br/>
      </w:r>
      <w:r w:rsidRPr="00A17383">
        <w:rPr>
          <w:rFonts w:ascii="Candara" w:hAnsi="Candara"/>
          <w:b/>
          <w:color w:val="auto"/>
          <w:sz w:val="18"/>
        </w:rPr>
        <w:t>(Millones de quetzales)</w:t>
      </w:r>
      <w:bookmarkEnd w:id="45"/>
    </w:p>
    <w:tbl>
      <w:tblPr>
        <w:tblStyle w:val="Tabladecuadrcula5oscura-nfasis14"/>
        <w:tblW w:w="9020" w:type="dxa"/>
        <w:tblLook w:val="04A0" w:firstRow="1" w:lastRow="0" w:firstColumn="1" w:lastColumn="0" w:noHBand="0" w:noVBand="1"/>
      </w:tblPr>
      <w:tblGrid>
        <w:gridCol w:w="2967"/>
        <w:gridCol w:w="1373"/>
        <w:gridCol w:w="1220"/>
        <w:gridCol w:w="1300"/>
        <w:gridCol w:w="1120"/>
        <w:gridCol w:w="1040"/>
      </w:tblGrid>
      <w:tr w:rsidR="007223FB" w:rsidRPr="00765ACE" w:rsidTr="002A71A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rsidR="007223FB" w:rsidRPr="00765ACE" w:rsidRDefault="007223FB" w:rsidP="000E557D">
            <w:pPr>
              <w:jc w:val="center"/>
              <w:rPr>
                <w:rFonts w:eastAsia="Times New Roman" w:cs="Times New Roman"/>
                <w:sz w:val="18"/>
              </w:rPr>
            </w:pPr>
            <w:r w:rsidRPr="00765ACE">
              <w:rPr>
                <w:rFonts w:eastAsia="Times New Roman" w:cs="Times New Roman"/>
                <w:sz w:val="18"/>
              </w:rPr>
              <w:t>Rubros presupuestarios</w:t>
            </w:r>
          </w:p>
        </w:tc>
        <w:tc>
          <w:tcPr>
            <w:tcW w:w="1373" w:type="dxa"/>
            <w:vAlign w:val="center"/>
            <w:hideMark/>
          </w:tcPr>
          <w:p w:rsidR="007223FB" w:rsidRPr="00765ACE"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Vigente 2018</w:t>
            </w:r>
          </w:p>
        </w:tc>
        <w:tc>
          <w:tcPr>
            <w:tcW w:w="1220" w:type="dxa"/>
            <w:vAlign w:val="center"/>
            <w:hideMark/>
          </w:tcPr>
          <w:p w:rsidR="007223FB" w:rsidRPr="00765ACE"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Estructura %</w:t>
            </w:r>
          </w:p>
        </w:tc>
        <w:tc>
          <w:tcPr>
            <w:tcW w:w="1300" w:type="dxa"/>
            <w:vAlign w:val="center"/>
            <w:hideMark/>
          </w:tcPr>
          <w:p w:rsidR="007223FB" w:rsidRPr="00765ACE"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Vigente 2019</w:t>
            </w:r>
          </w:p>
        </w:tc>
        <w:tc>
          <w:tcPr>
            <w:tcW w:w="1120" w:type="dxa"/>
            <w:vAlign w:val="center"/>
            <w:hideMark/>
          </w:tcPr>
          <w:p w:rsidR="007223FB" w:rsidRPr="00765ACE"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Estructura %</w:t>
            </w:r>
          </w:p>
        </w:tc>
        <w:tc>
          <w:tcPr>
            <w:tcW w:w="1040" w:type="dxa"/>
            <w:vAlign w:val="center"/>
            <w:hideMark/>
          </w:tcPr>
          <w:p w:rsidR="007223FB" w:rsidRPr="00765ACE"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Variación %</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Total de Ejecución</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15,182.4</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100.0</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17,585.2</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100.0</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15.8</w:t>
            </w:r>
          </w:p>
        </w:tc>
      </w:tr>
      <w:tr w:rsidR="007223FB" w:rsidRPr="00765ACE" w:rsidTr="000E557D">
        <w:trPr>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Inversión física</w:t>
            </w:r>
          </w:p>
        </w:tc>
        <w:tc>
          <w:tcPr>
            <w:tcW w:w="1373"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4,495.1</w:t>
            </w:r>
          </w:p>
        </w:tc>
        <w:tc>
          <w:tcPr>
            <w:tcW w:w="12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29.6</w:t>
            </w:r>
          </w:p>
        </w:tc>
        <w:tc>
          <w:tcPr>
            <w:tcW w:w="1300"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5,453.2</w:t>
            </w:r>
          </w:p>
        </w:tc>
        <w:tc>
          <w:tcPr>
            <w:tcW w:w="11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31.0</w:t>
            </w:r>
          </w:p>
        </w:tc>
        <w:tc>
          <w:tcPr>
            <w:tcW w:w="104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21.3</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ind w:left="313"/>
              <w:jc w:val="left"/>
              <w:rPr>
                <w:rFonts w:eastAsia="Times New Roman" w:cs="Times New Roman"/>
                <w:b w:val="0"/>
                <w:sz w:val="18"/>
              </w:rPr>
            </w:pPr>
            <w:r w:rsidRPr="00765ACE">
              <w:rPr>
                <w:rFonts w:eastAsia="Times New Roman" w:cs="Times New Roman"/>
                <w:b w:val="0"/>
                <w:sz w:val="18"/>
              </w:rPr>
              <w:t>Infraestructura</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3,094.6</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68.8</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4,056.2</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74.3</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31.1</w:t>
            </w:r>
          </w:p>
        </w:tc>
      </w:tr>
      <w:tr w:rsidR="007223FB" w:rsidRPr="00765ACE" w:rsidTr="000E557D">
        <w:trPr>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ind w:left="313"/>
              <w:jc w:val="left"/>
              <w:rPr>
                <w:rFonts w:eastAsia="Times New Roman" w:cs="Times New Roman"/>
                <w:b w:val="0"/>
                <w:sz w:val="18"/>
              </w:rPr>
            </w:pPr>
            <w:r w:rsidRPr="00765ACE">
              <w:rPr>
                <w:rFonts w:eastAsia="Times New Roman" w:cs="Times New Roman"/>
                <w:b w:val="0"/>
                <w:sz w:val="18"/>
              </w:rPr>
              <w:t>Equipamiento</w:t>
            </w:r>
          </w:p>
        </w:tc>
        <w:tc>
          <w:tcPr>
            <w:tcW w:w="1373"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1,400.5</w:t>
            </w:r>
          </w:p>
        </w:tc>
        <w:tc>
          <w:tcPr>
            <w:tcW w:w="12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31.2</w:t>
            </w:r>
          </w:p>
        </w:tc>
        <w:tc>
          <w:tcPr>
            <w:tcW w:w="1300"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1,397.0</w:t>
            </w:r>
          </w:p>
        </w:tc>
        <w:tc>
          <w:tcPr>
            <w:tcW w:w="11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25.6</w:t>
            </w:r>
          </w:p>
        </w:tc>
        <w:tc>
          <w:tcPr>
            <w:tcW w:w="104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-0.2</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Inversión financiera</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50.5</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0.3</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20.8</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0.1</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-58.8</w:t>
            </w:r>
          </w:p>
        </w:tc>
      </w:tr>
      <w:tr w:rsidR="007223FB" w:rsidRPr="00765ACE" w:rsidTr="000E557D">
        <w:trPr>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Transferencia de Capital*</w:t>
            </w:r>
          </w:p>
        </w:tc>
        <w:tc>
          <w:tcPr>
            <w:tcW w:w="1373"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10,636.8</w:t>
            </w:r>
          </w:p>
        </w:tc>
        <w:tc>
          <w:tcPr>
            <w:tcW w:w="12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70.1</w:t>
            </w:r>
          </w:p>
        </w:tc>
        <w:tc>
          <w:tcPr>
            <w:tcW w:w="1300"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12,111.2</w:t>
            </w:r>
          </w:p>
        </w:tc>
        <w:tc>
          <w:tcPr>
            <w:tcW w:w="11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rPr>
            </w:pPr>
            <w:r w:rsidRPr="00765ACE">
              <w:rPr>
                <w:rFonts w:eastAsia="Times New Roman" w:cs="Times New Roman"/>
                <w:b/>
                <w:bCs/>
                <w:sz w:val="18"/>
              </w:rPr>
              <w:t>68.8</w:t>
            </w:r>
          </w:p>
        </w:tc>
        <w:tc>
          <w:tcPr>
            <w:tcW w:w="104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13.9</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ind w:left="313"/>
              <w:jc w:val="left"/>
              <w:rPr>
                <w:rFonts w:eastAsia="Times New Roman" w:cs="Times New Roman"/>
                <w:b w:val="0"/>
                <w:sz w:val="18"/>
              </w:rPr>
            </w:pPr>
            <w:r w:rsidRPr="00765ACE">
              <w:rPr>
                <w:rFonts w:eastAsia="Times New Roman" w:cs="Times New Roman"/>
                <w:b w:val="0"/>
                <w:sz w:val="18"/>
              </w:rPr>
              <w:t>Municipalidades</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6,810.2</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64.0</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7,645.5</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63.1</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12.3</w:t>
            </w:r>
          </w:p>
        </w:tc>
      </w:tr>
      <w:tr w:rsidR="007223FB" w:rsidRPr="00765ACE" w:rsidTr="000E557D">
        <w:trPr>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ind w:left="313"/>
              <w:jc w:val="left"/>
              <w:rPr>
                <w:rFonts w:eastAsia="Times New Roman" w:cs="Times New Roman"/>
                <w:b w:val="0"/>
                <w:sz w:val="18"/>
              </w:rPr>
            </w:pPr>
            <w:r w:rsidRPr="00765ACE">
              <w:rPr>
                <w:rFonts w:eastAsia="Times New Roman" w:cs="Times New Roman"/>
                <w:b w:val="0"/>
                <w:sz w:val="18"/>
              </w:rPr>
              <w:t>Consejos Departamentales de Desarrollo</w:t>
            </w:r>
          </w:p>
        </w:tc>
        <w:tc>
          <w:tcPr>
            <w:tcW w:w="1373"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2,404.3</w:t>
            </w:r>
          </w:p>
        </w:tc>
        <w:tc>
          <w:tcPr>
            <w:tcW w:w="12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22.6</w:t>
            </w:r>
          </w:p>
        </w:tc>
        <w:tc>
          <w:tcPr>
            <w:tcW w:w="1300"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2,649.3</w:t>
            </w:r>
          </w:p>
        </w:tc>
        <w:tc>
          <w:tcPr>
            <w:tcW w:w="11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21.8</w:t>
            </w:r>
          </w:p>
        </w:tc>
        <w:tc>
          <w:tcPr>
            <w:tcW w:w="104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10.2</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ind w:left="313"/>
              <w:jc w:val="left"/>
              <w:rPr>
                <w:rFonts w:eastAsia="Times New Roman" w:cs="Times New Roman"/>
                <w:b w:val="0"/>
                <w:sz w:val="18"/>
              </w:rPr>
            </w:pPr>
            <w:r w:rsidRPr="00765ACE">
              <w:rPr>
                <w:rFonts w:eastAsia="Times New Roman" w:cs="Times New Roman"/>
                <w:b w:val="0"/>
                <w:sz w:val="18"/>
              </w:rPr>
              <w:t xml:space="preserve">Fonpetrol (25%) </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72.6</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0.7</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47.9</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0.4</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-34.0</w:t>
            </w:r>
          </w:p>
        </w:tc>
      </w:tr>
      <w:tr w:rsidR="007223FB" w:rsidRPr="00765ACE" w:rsidTr="000E557D">
        <w:trPr>
          <w:trHeight w:val="300"/>
        </w:trPr>
        <w:tc>
          <w:tcPr>
            <w:cnfStyle w:val="001000000000" w:firstRow="0" w:lastRow="0" w:firstColumn="1" w:lastColumn="0" w:oddVBand="0" w:evenVBand="0" w:oddHBand="0" w:evenHBand="0" w:firstRowFirstColumn="0" w:firstRowLastColumn="0" w:lastRowFirstColumn="0" w:lastRowLastColumn="0"/>
            <w:tcW w:w="2967" w:type="dxa"/>
            <w:noWrap/>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Cooperación Solidaria</w:t>
            </w:r>
          </w:p>
        </w:tc>
        <w:tc>
          <w:tcPr>
            <w:tcW w:w="1373"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0.0</w:t>
            </w:r>
          </w:p>
        </w:tc>
        <w:tc>
          <w:tcPr>
            <w:tcW w:w="12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0.0</w:t>
            </w:r>
          </w:p>
        </w:tc>
        <w:tc>
          <w:tcPr>
            <w:tcW w:w="1300" w:type="dxa"/>
            <w:noWrap/>
            <w:hideMark/>
          </w:tcPr>
          <w:p w:rsidR="007223FB" w:rsidRPr="00765ACE"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0.0</w:t>
            </w:r>
          </w:p>
        </w:tc>
        <w:tc>
          <w:tcPr>
            <w:tcW w:w="112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0.0</w:t>
            </w:r>
          </w:p>
        </w:tc>
        <w:tc>
          <w:tcPr>
            <w:tcW w:w="1040" w:type="dxa"/>
            <w:noWrap/>
            <w:hideMark/>
          </w:tcPr>
          <w:p w:rsidR="007223FB" w:rsidRPr="00765ACE"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rPr>
            </w:pPr>
            <w:r w:rsidRPr="00765ACE">
              <w:rPr>
                <w:rFonts w:eastAsia="Times New Roman" w:cs="Times New Roman"/>
                <w:sz w:val="18"/>
              </w:rPr>
              <w:t>0.0</w:t>
            </w:r>
          </w:p>
        </w:tc>
      </w:tr>
      <w:tr w:rsidR="007223FB" w:rsidRPr="00765ACE" w:rsidTr="000E557D">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967" w:type="dxa"/>
            <w:hideMark/>
          </w:tcPr>
          <w:p w:rsidR="007223FB" w:rsidRPr="00765ACE" w:rsidRDefault="007223FB" w:rsidP="000E557D">
            <w:pPr>
              <w:jc w:val="left"/>
              <w:rPr>
                <w:rFonts w:eastAsia="Times New Roman" w:cs="Times New Roman"/>
                <w:b w:val="0"/>
                <w:sz w:val="18"/>
              </w:rPr>
            </w:pPr>
            <w:r w:rsidRPr="00765ACE">
              <w:rPr>
                <w:rFonts w:eastAsia="Times New Roman" w:cs="Times New Roman"/>
                <w:b w:val="0"/>
                <w:sz w:val="18"/>
              </w:rPr>
              <w:t>Transferencia de Capital-Varios- (Administración Central,  Descentralizadas, Autónomas y Empresas Públicas)</w:t>
            </w:r>
          </w:p>
        </w:tc>
        <w:tc>
          <w:tcPr>
            <w:tcW w:w="1373"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1,349.7</w:t>
            </w:r>
          </w:p>
        </w:tc>
        <w:tc>
          <w:tcPr>
            <w:tcW w:w="12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12.7</w:t>
            </w:r>
          </w:p>
        </w:tc>
        <w:tc>
          <w:tcPr>
            <w:tcW w:w="1300" w:type="dxa"/>
            <w:noWrap/>
            <w:hideMark/>
          </w:tcPr>
          <w:p w:rsidR="007223FB" w:rsidRPr="00765ACE"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1,768.5</w:t>
            </w:r>
          </w:p>
        </w:tc>
        <w:tc>
          <w:tcPr>
            <w:tcW w:w="112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14.6</w:t>
            </w:r>
          </w:p>
        </w:tc>
        <w:tc>
          <w:tcPr>
            <w:tcW w:w="1040" w:type="dxa"/>
            <w:noWrap/>
            <w:hideMark/>
          </w:tcPr>
          <w:p w:rsidR="007223FB" w:rsidRPr="00765ACE"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rPr>
            </w:pPr>
            <w:r w:rsidRPr="00765ACE">
              <w:rPr>
                <w:rFonts w:eastAsia="Times New Roman" w:cs="Times New Roman"/>
                <w:sz w:val="18"/>
              </w:rPr>
              <w:t>31.0</w:t>
            </w:r>
          </w:p>
        </w:tc>
      </w:tr>
    </w:tbl>
    <w:p w:rsidR="007223FB" w:rsidRPr="007223FB" w:rsidRDefault="002F78F5" w:rsidP="007223FB">
      <w:pPr>
        <w:spacing w:after="0"/>
        <w:jc w:val="left"/>
        <w:rPr>
          <w:rFonts w:cs="Times New Roman"/>
          <w:b/>
        </w:rPr>
      </w:pPr>
      <w:bookmarkStart w:id="46" w:name="OLE_LINK4"/>
      <w:r>
        <w:rPr>
          <w:rFonts w:cs="Times New Roman"/>
        </w:rPr>
        <w:t>Fuente: elaboración  SEGEPLAN</w:t>
      </w:r>
      <w:r w:rsidR="007223FB" w:rsidRPr="007223FB">
        <w:rPr>
          <w:rFonts w:cs="Times New Roman"/>
        </w:rPr>
        <w:t xml:space="preserve">  con base en datos del Sistema de Contabilidad Integrada (SICOIN) al 11/09/201</w:t>
      </w:r>
      <w:bookmarkEnd w:id="46"/>
      <w:r w:rsidR="007223FB" w:rsidRPr="007223FB">
        <w:rPr>
          <w:rFonts w:cs="Times New Roman"/>
        </w:rPr>
        <w:t>9</w:t>
      </w:r>
      <w:r w:rsidR="007223FB" w:rsidRPr="007223FB">
        <w:rPr>
          <w:rFonts w:cs="Times New Roman"/>
          <w:b/>
        </w:rPr>
        <w:t>.</w:t>
      </w:r>
    </w:p>
    <w:p w:rsidR="007223FB" w:rsidRPr="007223FB" w:rsidRDefault="007223FB" w:rsidP="002A71A7">
      <w:pPr>
        <w:spacing w:before="120" w:after="120" w:line="240" w:lineRule="auto"/>
        <w:rPr>
          <w:rFonts w:cs="Times New Roman"/>
        </w:rPr>
      </w:pPr>
      <w:r w:rsidRPr="007223FB">
        <w:rPr>
          <w:rFonts w:cs="Times New Roman"/>
        </w:rPr>
        <w:lastRenderedPageBreak/>
        <w:t>Respecto a la ejecución del segundo cuatrimestre, del ejercicio fiscal 2019, de acuerdo con cifras del Sistema de Contabilidad Integrada (SICOIN), el rubro de transferencias de capital, específicamente Fonpetrol tiene el mayor avance en 68.2%, le siguen las municipalidades en 66.6%, y el menor avance lo constituye la inversión financiera  con  21.6%. (Ver  cuadro 2)</w:t>
      </w:r>
    </w:p>
    <w:p w:rsidR="007223FB" w:rsidRPr="00A17383" w:rsidRDefault="007223FB" w:rsidP="00A17383">
      <w:pPr>
        <w:pStyle w:val="Ttulo4"/>
        <w:numPr>
          <w:ilvl w:val="0"/>
          <w:numId w:val="0"/>
        </w:numPr>
        <w:ind w:left="864"/>
        <w:rPr>
          <w:rFonts w:ascii="Candara" w:hAnsi="Candara"/>
          <w:b/>
          <w:color w:val="auto"/>
          <w:sz w:val="18"/>
        </w:rPr>
      </w:pPr>
      <w:bookmarkStart w:id="47" w:name="_Toc19524690"/>
      <w:r w:rsidRPr="00A17383">
        <w:rPr>
          <w:rFonts w:ascii="Candara" w:hAnsi="Candara"/>
          <w:b/>
          <w:color w:val="auto"/>
          <w:sz w:val="18"/>
        </w:rPr>
        <w:t xml:space="preserve">Cuadro </w:t>
      </w:r>
      <w:r w:rsidR="00A17383">
        <w:rPr>
          <w:rFonts w:ascii="Candara" w:hAnsi="Candara"/>
          <w:b/>
          <w:color w:val="auto"/>
          <w:sz w:val="18"/>
        </w:rPr>
        <w:t>4</w:t>
      </w:r>
      <w:r w:rsidR="00A17383">
        <w:rPr>
          <w:rFonts w:ascii="Candara" w:hAnsi="Candara"/>
          <w:b/>
          <w:color w:val="auto"/>
          <w:sz w:val="18"/>
        </w:rPr>
        <w:br/>
      </w:r>
      <w:r w:rsidRPr="00A17383">
        <w:rPr>
          <w:rFonts w:ascii="Candara" w:hAnsi="Candara"/>
          <w:b/>
          <w:color w:val="auto"/>
          <w:sz w:val="18"/>
        </w:rPr>
        <w:t>Ejecución del presupuesto de inversión pública</w:t>
      </w:r>
      <w:r w:rsidR="00A17383">
        <w:rPr>
          <w:rFonts w:ascii="Candara" w:hAnsi="Candara"/>
          <w:b/>
          <w:color w:val="auto"/>
          <w:sz w:val="18"/>
        </w:rPr>
        <w:br/>
      </w:r>
      <w:r w:rsidRPr="00A17383">
        <w:rPr>
          <w:rFonts w:ascii="Candara" w:hAnsi="Candara"/>
          <w:b/>
          <w:color w:val="auto"/>
          <w:sz w:val="18"/>
        </w:rPr>
        <w:t>Segundo cuatrimestre</w:t>
      </w:r>
      <w:r w:rsidR="00A17383">
        <w:rPr>
          <w:rFonts w:ascii="Candara" w:hAnsi="Candara"/>
          <w:b/>
          <w:color w:val="auto"/>
          <w:sz w:val="18"/>
        </w:rPr>
        <w:br/>
      </w:r>
      <w:r w:rsidRPr="00A17383">
        <w:rPr>
          <w:rFonts w:ascii="Candara" w:hAnsi="Candara"/>
          <w:b/>
          <w:color w:val="auto"/>
          <w:sz w:val="18"/>
        </w:rPr>
        <w:t>Ejercicio fiscal 2019</w:t>
      </w:r>
      <w:r w:rsidR="00A17383">
        <w:rPr>
          <w:rFonts w:ascii="Candara" w:hAnsi="Candara"/>
          <w:b/>
          <w:color w:val="auto"/>
          <w:sz w:val="18"/>
        </w:rPr>
        <w:br/>
      </w:r>
      <w:r w:rsidRPr="00A17383">
        <w:rPr>
          <w:rFonts w:ascii="Candara" w:hAnsi="Candara"/>
          <w:b/>
          <w:color w:val="auto"/>
          <w:sz w:val="18"/>
        </w:rPr>
        <w:t>(Millones de quetzales)</w:t>
      </w:r>
      <w:bookmarkEnd w:id="47"/>
    </w:p>
    <w:tbl>
      <w:tblPr>
        <w:tblW w:w="9299" w:type="dxa"/>
        <w:tblInd w:w="55" w:type="dxa"/>
        <w:tblCellMar>
          <w:left w:w="70" w:type="dxa"/>
          <w:right w:w="70" w:type="dxa"/>
        </w:tblCellMar>
        <w:tblLook w:val="04A0" w:firstRow="1" w:lastRow="0" w:firstColumn="1" w:lastColumn="0" w:noHBand="0" w:noVBand="1"/>
      </w:tblPr>
      <w:tblGrid>
        <w:gridCol w:w="2875"/>
        <w:gridCol w:w="1306"/>
        <w:gridCol w:w="1200"/>
        <w:gridCol w:w="1306"/>
        <w:gridCol w:w="1306"/>
        <w:gridCol w:w="1306"/>
      </w:tblGrid>
      <w:tr w:rsidR="007223FB" w:rsidRPr="009B30CD" w:rsidTr="006F723D">
        <w:trPr>
          <w:trHeight w:val="60"/>
          <w:tblHeader/>
        </w:trPr>
        <w:tc>
          <w:tcPr>
            <w:tcW w:w="2875" w:type="dxa"/>
            <w:vMerge w:val="restart"/>
            <w:tcBorders>
              <w:top w:val="single" w:sz="8" w:space="0" w:color="FFFFFF"/>
              <w:left w:val="single" w:sz="8" w:space="0" w:color="FFFFFF"/>
              <w:bottom w:val="single" w:sz="8" w:space="0" w:color="FFFFFF"/>
              <w:right w:val="nil"/>
            </w:tcBorders>
            <w:shd w:val="clear" w:color="000000" w:fill="4472C4"/>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Rubros presupuestarios</w:t>
            </w:r>
          </w:p>
        </w:tc>
        <w:tc>
          <w:tcPr>
            <w:tcW w:w="6424" w:type="dxa"/>
            <w:gridSpan w:val="5"/>
            <w:tcBorders>
              <w:top w:val="single" w:sz="8" w:space="0" w:color="FFFFFF"/>
              <w:left w:val="nil"/>
              <w:bottom w:val="single" w:sz="8" w:space="0" w:color="FFFFFF"/>
              <w:right w:val="nil"/>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p>
        </w:tc>
      </w:tr>
      <w:tr w:rsidR="007223FB" w:rsidRPr="009B30CD" w:rsidTr="006F723D">
        <w:trPr>
          <w:trHeight w:val="376"/>
          <w:tblHeader/>
        </w:trPr>
        <w:tc>
          <w:tcPr>
            <w:tcW w:w="2875" w:type="dxa"/>
            <w:vMerge/>
            <w:tcBorders>
              <w:top w:val="single" w:sz="8" w:space="0" w:color="FFFFFF"/>
              <w:left w:val="single" w:sz="8" w:space="0" w:color="FFFFFF"/>
              <w:bottom w:val="single" w:sz="8" w:space="0" w:color="FFFFFF"/>
              <w:right w:val="nil"/>
            </w:tcBorders>
            <w:vAlign w:val="center"/>
            <w:hideMark/>
          </w:tcPr>
          <w:p w:rsidR="007223FB" w:rsidRPr="009B30CD" w:rsidRDefault="007223FB" w:rsidP="000E557D">
            <w:pPr>
              <w:spacing w:after="0" w:line="240" w:lineRule="auto"/>
              <w:jc w:val="left"/>
              <w:rPr>
                <w:rFonts w:eastAsia="Times New Roman" w:cs="Times New Roman"/>
                <w:b/>
                <w:bCs/>
                <w:color w:val="FFFFFF"/>
                <w:sz w:val="16"/>
              </w:rPr>
            </w:pPr>
          </w:p>
        </w:tc>
        <w:tc>
          <w:tcPr>
            <w:tcW w:w="1306"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Presupuesto de Inversión asignado</w:t>
            </w:r>
          </w:p>
        </w:tc>
        <w:tc>
          <w:tcPr>
            <w:tcW w:w="1200"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Modificado</w:t>
            </w:r>
          </w:p>
        </w:tc>
        <w:tc>
          <w:tcPr>
            <w:tcW w:w="1306" w:type="dxa"/>
            <w:vMerge w:val="restart"/>
            <w:tcBorders>
              <w:top w:val="nil"/>
              <w:left w:val="nil"/>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p>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Presupuesto Vigente</w:t>
            </w:r>
          </w:p>
        </w:tc>
        <w:tc>
          <w:tcPr>
            <w:tcW w:w="1306" w:type="dxa"/>
            <w:vMerge w:val="restart"/>
            <w:tcBorders>
              <w:top w:val="nil"/>
              <w:left w:val="single" w:sz="8" w:space="0" w:color="FFFFFF"/>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Presupuesto Ejecutado</w:t>
            </w:r>
          </w:p>
        </w:tc>
        <w:tc>
          <w:tcPr>
            <w:tcW w:w="1306" w:type="dxa"/>
            <w:tcBorders>
              <w:top w:val="nil"/>
              <w:left w:val="nil"/>
              <w:bottom w:val="nil"/>
              <w:right w:val="single" w:sz="8" w:space="0" w:color="FFFFFF"/>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w:t>
            </w:r>
          </w:p>
        </w:tc>
      </w:tr>
      <w:tr w:rsidR="007223FB" w:rsidRPr="009B30CD" w:rsidTr="006F723D">
        <w:trPr>
          <w:trHeight w:val="340"/>
          <w:tblHeader/>
        </w:trPr>
        <w:tc>
          <w:tcPr>
            <w:tcW w:w="2875" w:type="dxa"/>
            <w:vMerge/>
            <w:tcBorders>
              <w:top w:val="single" w:sz="8" w:space="0" w:color="FFFFFF"/>
              <w:left w:val="single" w:sz="8" w:space="0" w:color="FFFFFF"/>
              <w:bottom w:val="single" w:sz="8" w:space="0" w:color="FFFFFF"/>
              <w:right w:val="nil"/>
            </w:tcBorders>
            <w:vAlign w:val="center"/>
            <w:hideMark/>
          </w:tcPr>
          <w:p w:rsidR="007223FB" w:rsidRPr="009B30CD" w:rsidRDefault="007223FB" w:rsidP="000E557D">
            <w:pPr>
              <w:spacing w:after="0" w:line="240" w:lineRule="auto"/>
              <w:jc w:val="left"/>
              <w:rPr>
                <w:rFonts w:eastAsia="Times New Roman" w:cs="Times New Roman"/>
                <w:b/>
                <w:bCs/>
                <w:color w:val="FFFFFF"/>
                <w:sz w:val="16"/>
              </w:rPr>
            </w:pPr>
          </w:p>
        </w:tc>
        <w:tc>
          <w:tcPr>
            <w:tcW w:w="1306" w:type="dxa"/>
            <w:vMerge/>
            <w:tcBorders>
              <w:top w:val="nil"/>
              <w:left w:val="single" w:sz="8" w:space="0" w:color="FFFFFF"/>
              <w:bottom w:val="single" w:sz="8" w:space="0" w:color="FFFFFF"/>
              <w:right w:val="single" w:sz="8" w:space="0" w:color="FFFFFF"/>
            </w:tcBorders>
            <w:vAlign w:val="center"/>
            <w:hideMark/>
          </w:tcPr>
          <w:p w:rsidR="007223FB" w:rsidRPr="009B30CD" w:rsidRDefault="007223FB" w:rsidP="000E557D">
            <w:pPr>
              <w:spacing w:after="0" w:line="240" w:lineRule="auto"/>
              <w:jc w:val="center"/>
              <w:rPr>
                <w:rFonts w:eastAsia="Times New Roman" w:cs="Times New Roman"/>
                <w:b/>
                <w:bCs/>
                <w:sz w:val="16"/>
              </w:rPr>
            </w:pPr>
          </w:p>
        </w:tc>
        <w:tc>
          <w:tcPr>
            <w:tcW w:w="1200" w:type="dxa"/>
            <w:vMerge/>
            <w:tcBorders>
              <w:top w:val="nil"/>
              <w:left w:val="single" w:sz="8" w:space="0" w:color="FFFFFF"/>
              <w:bottom w:val="single" w:sz="8" w:space="0" w:color="FFFFFF"/>
              <w:right w:val="single" w:sz="8" w:space="0" w:color="FFFFFF"/>
            </w:tcBorders>
            <w:vAlign w:val="center"/>
            <w:hideMark/>
          </w:tcPr>
          <w:p w:rsidR="007223FB" w:rsidRPr="009B30CD" w:rsidRDefault="007223FB" w:rsidP="000E557D">
            <w:pPr>
              <w:spacing w:after="0" w:line="240" w:lineRule="auto"/>
              <w:jc w:val="center"/>
              <w:rPr>
                <w:rFonts w:eastAsia="Times New Roman" w:cs="Times New Roman"/>
                <w:b/>
                <w:bCs/>
                <w:sz w:val="16"/>
              </w:rPr>
            </w:pPr>
          </w:p>
        </w:tc>
        <w:tc>
          <w:tcPr>
            <w:tcW w:w="1306" w:type="dxa"/>
            <w:vMerge/>
            <w:tcBorders>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p>
        </w:tc>
        <w:tc>
          <w:tcPr>
            <w:tcW w:w="1306" w:type="dxa"/>
            <w:vMerge/>
            <w:tcBorders>
              <w:top w:val="nil"/>
              <w:left w:val="single" w:sz="8" w:space="0" w:color="FFFFFF"/>
              <w:bottom w:val="single" w:sz="8" w:space="0" w:color="FFFFFF"/>
              <w:right w:val="single" w:sz="8" w:space="0" w:color="FFFFFF"/>
            </w:tcBorders>
            <w:vAlign w:val="center"/>
            <w:hideMark/>
          </w:tcPr>
          <w:p w:rsidR="007223FB" w:rsidRPr="009B30CD" w:rsidRDefault="007223FB" w:rsidP="000E557D">
            <w:pPr>
              <w:spacing w:after="0" w:line="240" w:lineRule="auto"/>
              <w:jc w:val="center"/>
              <w:rPr>
                <w:rFonts w:eastAsia="Times New Roman" w:cs="Times New Roman"/>
                <w:b/>
                <w:bCs/>
                <w:sz w:val="16"/>
              </w:rPr>
            </w:pP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center"/>
              <w:rPr>
                <w:rFonts w:eastAsia="Times New Roman" w:cs="Times New Roman"/>
                <w:b/>
                <w:bCs/>
                <w:sz w:val="16"/>
              </w:rPr>
            </w:pPr>
            <w:r w:rsidRPr="009B30CD">
              <w:rPr>
                <w:rFonts w:eastAsia="Times New Roman" w:cs="Times New Roman"/>
                <w:b/>
                <w:bCs/>
                <w:sz w:val="16"/>
              </w:rPr>
              <w:t>Presupuesto Ejecutado</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Presupuesto del Programa de Inversión</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16,193.8</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1,391.4</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17,585.2</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9,452.6</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53.7</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Inversión física</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4,396.1</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1,057.1</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5,453.2</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2,608.9</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47.8</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Infraestructura</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3,812.5</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243.7</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4,056.2</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2,354.2</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58.0</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Equipamiento</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583.6</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813.4</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1,397</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254.7</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18.2</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Inversión financiera</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50.4</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29.6</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20.8</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4.5</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21.6</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Transferencia de Capital</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11,747.3</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363.9</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12,111.2</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6,839.2</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56.4</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Municipalidades</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7,619.8</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25.7</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7,645.5</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5,093.9</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66.6</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Consejos Departamentales de Desarrollo</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2,637.1</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12.2</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2,649.3</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775.4</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29.2</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 xml:space="preserve">Fonpetrol (25%) </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47.8</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0</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47.9</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32.6</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68.2</w:t>
            </w:r>
          </w:p>
        </w:tc>
      </w:tr>
      <w:tr w:rsidR="007223FB" w:rsidRPr="009B30CD" w:rsidTr="002A71A7">
        <w:trPr>
          <w:trHeight w:val="329"/>
        </w:trPr>
        <w:tc>
          <w:tcPr>
            <w:tcW w:w="2875" w:type="dxa"/>
            <w:tcBorders>
              <w:top w:val="nil"/>
              <w:left w:val="single" w:sz="8" w:space="0" w:color="FFFFFF"/>
              <w:bottom w:val="single" w:sz="8" w:space="0" w:color="FFFFFF"/>
              <w:right w:val="single" w:sz="8" w:space="0" w:color="FFFFFF"/>
            </w:tcBorders>
            <w:shd w:val="clear" w:color="000000" w:fill="4472C4"/>
            <w:noWrap/>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Cooperación Solidaria</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0.0</w:t>
            </w:r>
          </w:p>
        </w:tc>
        <w:tc>
          <w:tcPr>
            <w:tcW w:w="1200"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0.0</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0.0</w:t>
            </w:r>
          </w:p>
        </w:tc>
        <w:tc>
          <w:tcPr>
            <w:tcW w:w="1306" w:type="dxa"/>
            <w:tcBorders>
              <w:top w:val="nil"/>
              <w:left w:val="nil"/>
              <w:bottom w:val="single" w:sz="8" w:space="0" w:color="FFFFFF"/>
              <w:right w:val="single" w:sz="8" w:space="0" w:color="FFFFFF"/>
            </w:tcBorders>
            <w:shd w:val="clear" w:color="000000" w:fill="B4C6E7"/>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0.0</w:t>
            </w:r>
          </w:p>
        </w:tc>
        <w:tc>
          <w:tcPr>
            <w:tcW w:w="1306" w:type="dxa"/>
            <w:tcBorders>
              <w:top w:val="nil"/>
              <w:left w:val="nil"/>
              <w:bottom w:val="single" w:sz="8" w:space="0" w:color="FFFFFF"/>
              <w:right w:val="nil"/>
            </w:tcBorders>
            <w:shd w:val="clear" w:color="000000" w:fill="B4C6E7"/>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0.0</w:t>
            </w:r>
          </w:p>
        </w:tc>
      </w:tr>
      <w:tr w:rsidR="007223FB" w:rsidRPr="009B30CD" w:rsidTr="002A71A7">
        <w:trPr>
          <w:trHeight w:val="721"/>
        </w:trPr>
        <w:tc>
          <w:tcPr>
            <w:tcW w:w="2875" w:type="dxa"/>
            <w:tcBorders>
              <w:top w:val="nil"/>
              <w:left w:val="single" w:sz="8" w:space="0" w:color="FFFFFF"/>
              <w:bottom w:val="single" w:sz="8" w:space="0" w:color="FFFFFF"/>
              <w:right w:val="single" w:sz="8" w:space="0" w:color="FFFFFF"/>
            </w:tcBorders>
            <w:shd w:val="clear" w:color="000000" w:fill="4472C4"/>
            <w:vAlign w:val="center"/>
            <w:hideMark/>
          </w:tcPr>
          <w:p w:rsidR="007223FB" w:rsidRPr="009B30CD" w:rsidRDefault="007223FB" w:rsidP="000E557D">
            <w:pPr>
              <w:spacing w:after="0" w:line="240" w:lineRule="auto"/>
              <w:jc w:val="center"/>
              <w:rPr>
                <w:rFonts w:eastAsia="Times New Roman" w:cs="Times New Roman"/>
                <w:b/>
                <w:bCs/>
                <w:color w:val="FFFFFF"/>
                <w:sz w:val="16"/>
              </w:rPr>
            </w:pPr>
            <w:r w:rsidRPr="009B30CD">
              <w:rPr>
                <w:rFonts w:eastAsia="Times New Roman" w:cs="Times New Roman"/>
                <w:b/>
                <w:bCs/>
                <w:color w:val="FFFFFF"/>
                <w:sz w:val="16"/>
              </w:rPr>
              <w:t>Transferencia de Capital-Varios- (Administración Central,  Descentralizadas, Autónomas y Empresas Públicas)</w:t>
            </w:r>
          </w:p>
        </w:tc>
        <w:tc>
          <w:tcPr>
            <w:tcW w:w="1306" w:type="dxa"/>
            <w:tcBorders>
              <w:top w:val="nil"/>
              <w:left w:val="nil"/>
              <w:bottom w:val="single" w:sz="8" w:space="0" w:color="FFFFFF"/>
              <w:right w:val="single" w:sz="8" w:space="0" w:color="FFFFFF"/>
            </w:tcBorders>
            <w:shd w:val="clear" w:color="000000" w:fill="D9E2F3"/>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1,442.6</w:t>
            </w:r>
          </w:p>
        </w:tc>
        <w:tc>
          <w:tcPr>
            <w:tcW w:w="1200" w:type="dxa"/>
            <w:tcBorders>
              <w:top w:val="nil"/>
              <w:left w:val="nil"/>
              <w:bottom w:val="single" w:sz="8" w:space="0" w:color="FFFFFF"/>
              <w:right w:val="nil"/>
            </w:tcBorders>
            <w:shd w:val="clear" w:color="000000" w:fill="D9E2F3"/>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325.9</w:t>
            </w:r>
          </w:p>
        </w:tc>
        <w:tc>
          <w:tcPr>
            <w:tcW w:w="1306" w:type="dxa"/>
            <w:tcBorders>
              <w:top w:val="nil"/>
              <w:left w:val="nil"/>
              <w:bottom w:val="single" w:sz="8" w:space="0" w:color="FFFFFF"/>
              <w:right w:val="single" w:sz="8" w:space="0" w:color="FFFFFF"/>
            </w:tcBorders>
            <w:shd w:val="clear" w:color="000000" w:fill="D9E2F3"/>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1,768.5</w:t>
            </w:r>
          </w:p>
        </w:tc>
        <w:tc>
          <w:tcPr>
            <w:tcW w:w="1306" w:type="dxa"/>
            <w:tcBorders>
              <w:top w:val="nil"/>
              <w:left w:val="nil"/>
              <w:bottom w:val="single" w:sz="8" w:space="0" w:color="FFFFFF"/>
              <w:right w:val="single" w:sz="8" w:space="0" w:color="FFFFFF"/>
            </w:tcBorders>
            <w:shd w:val="clear" w:color="000000" w:fill="D9E2F3"/>
            <w:vAlign w:val="center"/>
            <w:hideMark/>
          </w:tcPr>
          <w:p w:rsidR="007223FB" w:rsidRPr="009B30CD" w:rsidRDefault="007223FB" w:rsidP="000E557D">
            <w:pPr>
              <w:spacing w:after="0" w:line="240" w:lineRule="auto"/>
              <w:jc w:val="right"/>
              <w:rPr>
                <w:rFonts w:eastAsia="Times New Roman" w:cs="Times New Roman"/>
                <w:sz w:val="16"/>
              </w:rPr>
            </w:pPr>
            <w:r w:rsidRPr="009B30CD">
              <w:rPr>
                <w:rFonts w:eastAsia="Times New Roman" w:cs="Times New Roman"/>
                <w:sz w:val="16"/>
              </w:rPr>
              <w:t>937.3</w:t>
            </w:r>
          </w:p>
        </w:tc>
        <w:tc>
          <w:tcPr>
            <w:tcW w:w="1306" w:type="dxa"/>
            <w:tcBorders>
              <w:top w:val="nil"/>
              <w:left w:val="nil"/>
              <w:bottom w:val="single" w:sz="8" w:space="0" w:color="FFFFFF"/>
              <w:right w:val="nil"/>
            </w:tcBorders>
            <w:shd w:val="clear" w:color="000000" w:fill="D9E2F3"/>
            <w:vAlign w:val="center"/>
            <w:hideMark/>
          </w:tcPr>
          <w:p w:rsidR="007223FB" w:rsidRPr="009B30CD" w:rsidRDefault="007223FB" w:rsidP="000E557D">
            <w:pPr>
              <w:spacing w:after="0" w:line="240" w:lineRule="auto"/>
              <w:jc w:val="center"/>
              <w:rPr>
                <w:rFonts w:eastAsia="Times New Roman" w:cs="Times New Roman"/>
                <w:sz w:val="16"/>
              </w:rPr>
            </w:pPr>
            <w:r w:rsidRPr="009B30CD">
              <w:rPr>
                <w:rFonts w:eastAsia="Times New Roman" w:cs="Times New Roman"/>
                <w:sz w:val="16"/>
              </w:rPr>
              <w:t>52.9</w:t>
            </w:r>
          </w:p>
        </w:tc>
      </w:tr>
    </w:tbl>
    <w:p w:rsidR="007223FB" w:rsidRPr="007223FB" w:rsidRDefault="002F78F5" w:rsidP="007223FB">
      <w:pPr>
        <w:spacing w:after="0"/>
        <w:jc w:val="left"/>
        <w:rPr>
          <w:rFonts w:cs="Times New Roman"/>
        </w:rPr>
      </w:pPr>
      <w:r>
        <w:rPr>
          <w:rFonts w:cs="Times New Roman"/>
        </w:rPr>
        <w:t>Fuente: elaboración SEGEPLAN</w:t>
      </w:r>
      <w:r w:rsidRPr="007223FB">
        <w:rPr>
          <w:rFonts w:cs="Times New Roman"/>
        </w:rPr>
        <w:t xml:space="preserve"> con</w:t>
      </w:r>
      <w:r w:rsidR="007223FB" w:rsidRPr="007223FB">
        <w:rPr>
          <w:rFonts w:cs="Times New Roman"/>
        </w:rPr>
        <w:t xml:space="preserve"> base en datos del Sistema de Contabilidad Integrada (SICOIN</w:t>
      </w:r>
      <w:r w:rsidRPr="007223FB">
        <w:rPr>
          <w:rFonts w:cs="Times New Roman"/>
        </w:rPr>
        <w:t>) al 11</w:t>
      </w:r>
      <w:r w:rsidR="007223FB" w:rsidRPr="007223FB">
        <w:rPr>
          <w:rFonts w:cs="Times New Roman"/>
        </w:rPr>
        <w:t>/09/.2019.</w:t>
      </w:r>
    </w:p>
    <w:p w:rsidR="007223FB" w:rsidRPr="007223FB" w:rsidRDefault="007223FB" w:rsidP="000B07D9">
      <w:pPr>
        <w:pStyle w:val="Ttulo2"/>
        <w:numPr>
          <w:ilvl w:val="1"/>
          <w:numId w:val="7"/>
        </w:numPr>
        <w:spacing w:before="120" w:after="120" w:line="240" w:lineRule="auto"/>
        <w:rPr>
          <w:szCs w:val="22"/>
        </w:rPr>
      </w:pPr>
      <w:bookmarkStart w:id="48" w:name="_Toc19201209"/>
      <w:bookmarkStart w:id="49" w:name="_Toc19527438"/>
      <w:r w:rsidRPr="007223FB">
        <w:rPr>
          <w:szCs w:val="22"/>
        </w:rPr>
        <w:t>Distribución de la inversión pública de acuerdo con la Política General de Gobierno</w:t>
      </w:r>
      <w:bookmarkEnd w:id="48"/>
      <w:bookmarkEnd w:id="49"/>
    </w:p>
    <w:p w:rsidR="006F723D" w:rsidRDefault="007223FB" w:rsidP="00765ACE">
      <w:pPr>
        <w:spacing w:before="120" w:after="120" w:line="240" w:lineRule="auto"/>
        <w:rPr>
          <w:rFonts w:cs="Times New Roman"/>
          <w:b/>
        </w:rPr>
      </w:pPr>
      <w:r w:rsidRPr="007223FB">
        <w:rPr>
          <w:rFonts w:cs="Times New Roman"/>
        </w:rPr>
        <w:t>La Política General de Gobierno (PGG) establece las prioridades y directrices que orientarán la gestión pública durante el año 2019</w:t>
      </w:r>
      <w:r w:rsidRPr="007223FB">
        <w:rPr>
          <w:rStyle w:val="Refdenotaalpie"/>
          <w:rFonts w:cs="Times New Roman"/>
        </w:rPr>
        <w:footnoteReference w:id="2"/>
      </w:r>
      <w:r w:rsidRPr="007223FB">
        <w:rPr>
          <w:rFonts w:cs="Times New Roman"/>
        </w:rPr>
        <w:t xml:space="preserve"> y dentro de esta, la programación de la inversión nacional se orientó de la manera siguiente: Al eje Fomento de las Mipymes, turismo, vivienda y trabajo digno y decente tuvo una asignación de Q4</w:t>
      </w:r>
      <w:r w:rsidR="002F78F5" w:rsidRPr="007223FB">
        <w:rPr>
          <w:rFonts w:cs="Times New Roman"/>
        </w:rPr>
        <w:t>, 899.78</w:t>
      </w:r>
      <w:r w:rsidRPr="007223FB">
        <w:rPr>
          <w:rFonts w:cs="Times New Roman"/>
        </w:rPr>
        <w:t xml:space="preserve"> millones (53.7% del total) para 1,273 proyectos y tiene registrada una ejecución de 56.6%.  El eje Seguridad alimentaria y nutricional, salud integral y educación de calidad con una asignación de Q3</w:t>
      </w:r>
      <w:r w:rsidR="002F78F5" w:rsidRPr="007223FB">
        <w:rPr>
          <w:rFonts w:cs="Times New Roman"/>
        </w:rPr>
        <w:t>, 763.17</w:t>
      </w:r>
      <w:r w:rsidRPr="007223FB">
        <w:rPr>
          <w:rFonts w:cs="Times New Roman"/>
        </w:rPr>
        <w:t xml:space="preserve"> millones (41.2%) para 3,477 proyectos, de los cuáles tiene registrada una ejecución de 17.7%. El eje Tolerancia cero a la corrupción con una asignación de Q194.91 millones (2.1%) para 119 proyectos, tiene registrada una ejecución de 18.5%. El eje seguridad ciudadana tiene una asignación de Q172.50 millones que representa el 1.9% del total para 48 proyectos, tiene una ejecución registrada de 11.5% y  por último el eje Ambiente y recursos naturales con un presupuesto de inversión asignado de Q94.50 millones (1.0%), registró una ejecución de 23.8% (Ver gráfico 1).</w:t>
      </w:r>
      <w:r w:rsidR="006F723D">
        <w:rPr>
          <w:rFonts w:cs="Times New Roman"/>
          <w:b/>
        </w:rPr>
        <w:br w:type="page"/>
      </w:r>
    </w:p>
    <w:p w:rsidR="007223FB" w:rsidRPr="00765ACE" w:rsidRDefault="008A2C09" w:rsidP="00765ACE">
      <w:pPr>
        <w:pStyle w:val="Ttulo5"/>
        <w:numPr>
          <w:ilvl w:val="0"/>
          <w:numId w:val="0"/>
        </w:numPr>
        <w:ind w:left="1008"/>
        <w:rPr>
          <w:rFonts w:ascii="Candara" w:hAnsi="Candara"/>
          <w:b/>
          <w:color w:val="auto"/>
          <w:sz w:val="18"/>
        </w:rPr>
      </w:pPr>
      <w:bookmarkStart w:id="50" w:name="_Toc19527384"/>
      <w:r w:rsidRPr="00765ACE">
        <w:rPr>
          <w:rFonts w:ascii="Candara" w:hAnsi="Candara"/>
          <w:b/>
          <w:caps w:val="0"/>
          <w:color w:val="auto"/>
          <w:sz w:val="18"/>
        </w:rPr>
        <w:lastRenderedPageBreak/>
        <w:t>GRÁFIC</w:t>
      </w:r>
      <w:r>
        <w:rPr>
          <w:rFonts w:ascii="Candara" w:hAnsi="Candara"/>
          <w:b/>
          <w:caps w:val="0"/>
          <w:color w:val="auto"/>
          <w:sz w:val="18"/>
        </w:rPr>
        <w:t>A</w:t>
      </w:r>
      <w:r w:rsidRPr="00765ACE">
        <w:rPr>
          <w:rFonts w:ascii="Candara" w:hAnsi="Candara"/>
          <w:b/>
          <w:caps w:val="0"/>
          <w:color w:val="auto"/>
          <w:sz w:val="18"/>
        </w:rPr>
        <w:t xml:space="preserve"> 1</w:t>
      </w:r>
      <w:r w:rsidRPr="00765ACE">
        <w:rPr>
          <w:rFonts w:ascii="Candara" w:hAnsi="Candara"/>
          <w:b/>
          <w:caps w:val="0"/>
          <w:color w:val="auto"/>
          <w:sz w:val="18"/>
        </w:rPr>
        <w:br/>
        <w:t>INVERSIÓN ASIGNADA Y EJECUTADA</w:t>
      </w:r>
      <w:r w:rsidRPr="00765ACE">
        <w:rPr>
          <w:rFonts w:ascii="Candara" w:hAnsi="Candara"/>
          <w:b/>
          <w:caps w:val="0"/>
          <w:color w:val="auto"/>
          <w:sz w:val="18"/>
        </w:rPr>
        <w:br/>
        <w:t>POR EJE DE LA POLÍTICA GENERAL DE GOBIERNO</w:t>
      </w:r>
      <w:r w:rsidRPr="00765ACE">
        <w:rPr>
          <w:rFonts w:ascii="Candara" w:hAnsi="Candara"/>
          <w:b/>
          <w:caps w:val="0"/>
          <w:color w:val="auto"/>
          <w:sz w:val="18"/>
        </w:rPr>
        <w:br/>
        <w:t>EJERCICIO FISCAL 2019</w:t>
      </w:r>
      <w:r w:rsidRPr="00765ACE">
        <w:rPr>
          <w:rFonts w:ascii="Candara" w:hAnsi="Candara"/>
          <w:b/>
          <w:caps w:val="0"/>
          <w:color w:val="auto"/>
          <w:sz w:val="18"/>
        </w:rPr>
        <w:br/>
        <w:t>(MILLONES DE QUETZALES)</w:t>
      </w:r>
      <w:bookmarkEnd w:id="50"/>
    </w:p>
    <w:p w:rsidR="007223FB" w:rsidRPr="007223FB" w:rsidRDefault="007223FB" w:rsidP="007223FB">
      <w:pPr>
        <w:jc w:val="center"/>
        <w:rPr>
          <w:rFonts w:cs="Times New Roman"/>
          <w:b/>
        </w:rPr>
      </w:pPr>
      <w:r w:rsidRPr="007223FB">
        <w:rPr>
          <w:noProof/>
          <w:lang w:eastAsia="es-GT"/>
        </w:rPr>
        <w:drawing>
          <wp:inline distT="0" distB="0" distL="0" distR="0" wp14:anchorId="172D73B0" wp14:editId="45BBF71C">
            <wp:extent cx="5612130" cy="2858135"/>
            <wp:effectExtent l="0" t="0" r="7620" b="184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223FB" w:rsidRPr="007223FB" w:rsidRDefault="002F78F5" w:rsidP="007223FB">
      <w:pPr>
        <w:jc w:val="left"/>
        <w:rPr>
          <w:rFonts w:cs="Times New Roman"/>
        </w:rPr>
      </w:pPr>
      <w:r>
        <w:rPr>
          <w:rFonts w:cs="Times New Roman"/>
        </w:rPr>
        <w:t>Fuente: elaboración SEGEPLAN</w:t>
      </w:r>
      <w:r w:rsidR="007223FB" w:rsidRPr="007223FB">
        <w:rPr>
          <w:rFonts w:cs="Times New Roman"/>
        </w:rPr>
        <w:t xml:space="preserve"> con base en datos del Sistema Nacional de Inversión Pública (SNIP) de </w:t>
      </w:r>
      <w:r w:rsidRPr="007223FB">
        <w:rPr>
          <w:rFonts w:cs="Times New Roman"/>
        </w:rPr>
        <w:t>fecha 2.09.2019</w:t>
      </w:r>
    </w:p>
    <w:p w:rsidR="007223FB" w:rsidRPr="007223FB" w:rsidRDefault="007223FB" w:rsidP="00475FEA">
      <w:pPr>
        <w:spacing w:before="120" w:after="120" w:line="240" w:lineRule="auto"/>
        <w:rPr>
          <w:rFonts w:cs="Times New Roman"/>
        </w:rPr>
      </w:pPr>
      <w:r w:rsidRPr="007223FB">
        <w:rPr>
          <w:rFonts w:cs="Times New Roman"/>
        </w:rPr>
        <w:t>Por la importancia estratégica de las Prioridades Nacionales de Desarrollo</w:t>
      </w:r>
      <w:r w:rsidRPr="007223FB">
        <w:rPr>
          <w:rStyle w:val="Refdenotaalpie"/>
          <w:rFonts w:cs="Times New Roman"/>
        </w:rPr>
        <w:footnoteReference w:id="3"/>
      </w:r>
      <w:r w:rsidRPr="007223FB">
        <w:rPr>
          <w:rFonts w:cs="Times New Roman"/>
        </w:rPr>
        <w:t xml:space="preserve"> , los proyectos de inversión pública, en su mayoría están priorizados y alineadas dentro de la planificación y presupuesto de corto plazo de las entidades territoriales (Codedes y municipalidades) y a nivel sectorial (entidades de Gobierno Central y EPnFN).</w:t>
      </w:r>
    </w:p>
    <w:p w:rsidR="007223FB" w:rsidRPr="007223FB" w:rsidRDefault="007223FB" w:rsidP="000B07D9">
      <w:pPr>
        <w:pStyle w:val="Ttulo2"/>
        <w:numPr>
          <w:ilvl w:val="1"/>
          <w:numId w:val="7"/>
        </w:numPr>
        <w:spacing w:before="120" w:after="120" w:line="240" w:lineRule="auto"/>
        <w:rPr>
          <w:szCs w:val="22"/>
        </w:rPr>
      </w:pPr>
      <w:bookmarkStart w:id="51" w:name="_Toc19201210"/>
      <w:bookmarkStart w:id="52" w:name="_Toc19527439"/>
      <w:r w:rsidRPr="007223FB">
        <w:rPr>
          <w:szCs w:val="22"/>
        </w:rPr>
        <w:t>Distribución de la Inversión asignada y ejecutada por nivel de decisión</w:t>
      </w:r>
      <w:bookmarkEnd w:id="51"/>
      <w:bookmarkEnd w:id="52"/>
    </w:p>
    <w:p w:rsidR="007223FB" w:rsidRPr="007223FB" w:rsidRDefault="007223FB" w:rsidP="00475FEA">
      <w:pPr>
        <w:spacing w:before="120" w:after="120" w:line="240" w:lineRule="auto"/>
        <w:rPr>
          <w:rFonts w:cs="Times New Roman"/>
        </w:rPr>
      </w:pPr>
      <w:r w:rsidRPr="007223FB">
        <w:rPr>
          <w:rFonts w:cs="Times New Roman"/>
        </w:rPr>
        <w:t xml:space="preserve">De los Q9,124.86 millones en total asignados y registrados en el SINIP al 2 de septiembre de 2019, a nivel nacional al segundo cuatrimestre del Ejercicio Fiscal 2019, el 56.3%  está concentrado para 493 proyectos a cargo de las entidades del Gobierno Central y de las Empresas Públicas no Financieras Nacionales, los Consejos Departamentales de Desarrollo con el 29.1% del monto de inversión para 2,882 proyectos y los Gobiernos Locales del total de las transferencias a capital, tienen un monto actualizado del 14.6%. En cuanto a lo ejecutado, los Gobiernos Locales registraron el 40.0%, las entidades del Gobierno Central y EPnFN 50.7% y los Codedes el 14.21%. (Ver gráfico 2). </w:t>
      </w:r>
    </w:p>
    <w:p w:rsidR="006F723D" w:rsidRDefault="006F723D">
      <w:pPr>
        <w:jc w:val="left"/>
        <w:rPr>
          <w:rFonts w:cs="Times New Roman"/>
          <w:b/>
        </w:rPr>
      </w:pPr>
      <w:r>
        <w:rPr>
          <w:rFonts w:cs="Times New Roman"/>
          <w:b/>
        </w:rPr>
        <w:br w:type="page"/>
      </w:r>
    </w:p>
    <w:p w:rsidR="007223FB" w:rsidRPr="00765ACE" w:rsidRDefault="00CB1737" w:rsidP="00765ACE">
      <w:pPr>
        <w:pStyle w:val="Ttulo5"/>
        <w:numPr>
          <w:ilvl w:val="0"/>
          <w:numId w:val="0"/>
        </w:numPr>
        <w:ind w:left="1008"/>
        <w:rPr>
          <w:rFonts w:ascii="Candara" w:hAnsi="Candara"/>
          <w:b/>
          <w:color w:val="auto"/>
          <w:sz w:val="18"/>
        </w:rPr>
      </w:pPr>
      <w:bookmarkStart w:id="53" w:name="_Toc19527385"/>
      <w:r w:rsidRPr="00765ACE">
        <w:rPr>
          <w:rFonts w:ascii="Candara" w:hAnsi="Candara"/>
          <w:b/>
          <w:color w:val="auto"/>
          <w:sz w:val="18"/>
        </w:rPr>
        <w:lastRenderedPageBreak/>
        <w:t>Gráfic</w:t>
      </w:r>
      <w:r w:rsidR="00765ACE">
        <w:rPr>
          <w:rFonts w:ascii="Candara" w:hAnsi="Candara"/>
          <w:b/>
          <w:color w:val="auto"/>
          <w:sz w:val="18"/>
        </w:rPr>
        <w:t>A</w:t>
      </w:r>
      <w:r w:rsidRPr="00765ACE">
        <w:rPr>
          <w:rFonts w:ascii="Candara" w:hAnsi="Candara"/>
          <w:b/>
          <w:color w:val="auto"/>
          <w:sz w:val="18"/>
        </w:rPr>
        <w:t xml:space="preserve"> </w:t>
      </w:r>
      <w:r w:rsidR="00765ACE">
        <w:rPr>
          <w:rFonts w:ascii="Candara" w:hAnsi="Candara"/>
          <w:b/>
          <w:color w:val="auto"/>
          <w:sz w:val="18"/>
        </w:rPr>
        <w:t>2</w:t>
      </w:r>
      <w:r w:rsidR="00765ACE">
        <w:rPr>
          <w:rFonts w:ascii="Candara" w:hAnsi="Candara"/>
          <w:b/>
          <w:color w:val="auto"/>
          <w:sz w:val="18"/>
        </w:rPr>
        <w:br/>
      </w:r>
      <w:r w:rsidR="007223FB" w:rsidRPr="00765ACE">
        <w:rPr>
          <w:rFonts w:ascii="Candara" w:hAnsi="Candara"/>
          <w:b/>
          <w:color w:val="auto"/>
          <w:sz w:val="18"/>
        </w:rPr>
        <w:t>Distribución de la inversión asignada y ejecutada</w:t>
      </w:r>
      <w:r w:rsidR="00765ACE">
        <w:rPr>
          <w:rFonts w:ascii="Candara" w:hAnsi="Candara"/>
          <w:b/>
          <w:color w:val="auto"/>
          <w:sz w:val="18"/>
        </w:rPr>
        <w:br/>
      </w:r>
      <w:r w:rsidR="007223FB" w:rsidRPr="00765ACE">
        <w:rPr>
          <w:rFonts w:ascii="Candara" w:hAnsi="Candara"/>
          <w:b/>
          <w:color w:val="auto"/>
          <w:sz w:val="18"/>
        </w:rPr>
        <w:t>por nivel de decisión</w:t>
      </w:r>
      <w:r w:rsidR="00765ACE">
        <w:rPr>
          <w:rFonts w:ascii="Candara" w:hAnsi="Candara"/>
          <w:b/>
          <w:color w:val="auto"/>
          <w:sz w:val="18"/>
        </w:rPr>
        <w:br/>
      </w:r>
      <w:r w:rsidR="007223FB" w:rsidRPr="00765ACE">
        <w:rPr>
          <w:rFonts w:ascii="Candara" w:hAnsi="Candara"/>
          <w:b/>
          <w:color w:val="auto"/>
          <w:sz w:val="18"/>
        </w:rPr>
        <w:t>Ejercicio Fiscal 2019,</w:t>
      </w:r>
      <w:r w:rsidR="00765ACE">
        <w:rPr>
          <w:rFonts w:ascii="Candara" w:hAnsi="Candara"/>
          <w:b/>
          <w:color w:val="auto"/>
          <w:sz w:val="18"/>
        </w:rPr>
        <w:br/>
      </w:r>
      <w:r w:rsidR="007223FB" w:rsidRPr="00765ACE">
        <w:rPr>
          <w:rFonts w:ascii="Candara" w:hAnsi="Candara"/>
          <w:b/>
          <w:color w:val="auto"/>
          <w:sz w:val="18"/>
        </w:rPr>
        <w:t>(Millones de Quetzales)</w:t>
      </w:r>
      <w:bookmarkEnd w:id="53"/>
    </w:p>
    <w:p w:rsidR="007223FB" w:rsidRPr="007223FB" w:rsidRDefault="007223FB" w:rsidP="007223FB">
      <w:pPr>
        <w:spacing w:after="0" w:line="240" w:lineRule="auto"/>
        <w:jc w:val="center"/>
        <w:rPr>
          <w:rFonts w:cs="Times New Roman"/>
          <w:b/>
        </w:rPr>
      </w:pPr>
      <w:r w:rsidRPr="007223FB">
        <w:rPr>
          <w:noProof/>
          <w:lang w:eastAsia="es-GT"/>
        </w:rPr>
        <w:drawing>
          <wp:inline distT="0" distB="0" distL="0" distR="0" wp14:anchorId="5703D4A6" wp14:editId="4901B839">
            <wp:extent cx="5452281" cy="2593075"/>
            <wp:effectExtent l="0" t="0" r="15240" b="1714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223FB" w:rsidRPr="007223FB" w:rsidRDefault="007223FB" w:rsidP="007223FB">
      <w:pPr>
        <w:jc w:val="left"/>
        <w:rPr>
          <w:rFonts w:cs="Times New Roman"/>
        </w:rPr>
      </w:pPr>
      <w:r w:rsidRPr="007223FB">
        <w:rPr>
          <w:rFonts w:cs="Times New Roman"/>
          <w:b/>
        </w:rPr>
        <w:t>Fuente</w:t>
      </w:r>
      <w:r w:rsidR="002F78F5">
        <w:rPr>
          <w:rFonts w:cs="Times New Roman"/>
        </w:rPr>
        <w:t>: elaboración SEGEPLAN</w:t>
      </w:r>
      <w:r w:rsidRPr="007223FB">
        <w:rPr>
          <w:rFonts w:cs="Times New Roman"/>
        </w:rPr>
        <w:t xml:space="preserve"> con base en datos del Sistema Nacional de Inversión Pública (SNIP) de fecha al 2.09.2019</w:t>
      </w:r>
    </w:p>
    <w:p w:rsidR="007223FB" w:rsidRPr="007223FB" w:rsidRDefault="00A17383" w:rsidP="00A17383">
      <w:pPr>
        <w:pStyle w:val="Ttulo3"/>
        <w:numPr>
          <w:ilvl w:val="0"/>
          <w:numId w:val="0"/>
        </w:numPr>
        <w:tabs>
          <w:tab w:val="left" w:pos="1985"/>
        </w:tabs>
        <w:ind w:left="1560" w:hanging="709"/>
      </w:pPr>
      <w:bookmarkStart w:id="54" w:name="_Toc492375614"/>
      <w:bookmarkStart w:id="55" w:name="_Toc19201211"/>
      <w:bookmarkStart w:id="56" w:name="_Toc19527440"/>
      <w:r>
        <w:t>3.3.1</w:t>
      </w:r>
      <w:r>
        <w:tab/>
      </w:r>
      <w:r w:rsidR="007223FB" w:rsidRPr="007223FB">
        <w:t>Inversión pública asignada y ejecutada por las instituciones del Gobierno Central y Empresas Públicas no Financieras Nacionales</w:t>
      </w:r>
      <w:bookmarkEnd w:id="54"/>
      <w:bookmarkEnd w:id="55"/>
      <w:bookmarkEnd w:id="56"/>
    </w:p>
    <w:p w:rsidR="007223FB" w:rsidRPr="007223FB" w:rsidRDefault="007223FB" w:rsidP="002A71A7">
      <w:pPr>
        <w:spacing w:before="120" w:after="120" w:line="240" w:lineRule="auto"/>
      </w:pPr>
      <w:r w:rsidRPr="007223FB">
        <w:t xml:space="preserve">A nivel de Gobierno Central, la mayor parte del presupuesto de inversión de Q3,635.41 millones (70.7% del presupuesto de inversión de Gobierno Central) está orientado a la infraestructura programada por el Ministerio de Infraestructura y Vivienda (MCIV) para el ejercicio fiscal 2019, especialmente para la infraestructura de transporte de carreteras y puentes (179 proyectos) equivalente al 91.4%  del presupuesto del MCIV, el nivel de ejecución alcanzado fue de 63.0%, como se muestra en el cuadro 3. </w:t>
      </w:r>
    </w:p>
    <w:p w:rsidR="007223FB" w:rsidRPr="007223FB" w:rsidRDefault="007223FB" w:rsidP="002A71A7">
      <w:pPr>
        <w:spacing w:before="120" w:after="120" w:line="240" w:lineRule="auto"/>
      </w:pPr>
      <w:r w:rsidRPr="007223FB">
        <w:t>El Instituto Nacional de Ciencias Forenses de Guatemala y el Ministerio de Economía, aunque   presentaron una proporción pequeña del presupuesto de inversión pública, alcanzaron los mayores porcentajes de ejecución, después el CIV, del 64.6% y 51.1%, respectivamente. Así mismo, es importante citar, que el Instituto Nacional de Ciencias Forenses de Guatemala, la construcción de edificio en el departamento de Huehuetenango y el Ministerio de económica, para  proyectos que no forman capital fijo</w:t>
      </w:r>
    </w:p>
    <w:p w:rsidR="007223FB" w:rsidRPr="007223FB" w:rsidRDefault="007223FB" w:rsidP="002A71A7">
      <w:pPr>
        <w:spacing w:before="120" w:after="120" w:line="240" w:lineRule="auto"/>
      </w:pPr>
      <w:r w:rsidRPr="007223FB">
        <w:t xml:space="preserve">De esta forma la inversión pública cumple los criterios de complementariedad estratégica de la inversión pública, principalmente, para apoyar el crecimiento económico y desarrollo social del país, así mismo, el monto ejecutado tuvo una variación </w:t>
      </w:r>
      <w:r w:rsidR="002F78F5" w:rsidRPr="007223FB">
        <w:t>del 64.0</w:t>
      </w:r>
      <w:r w:rsidRPr="007223FB">
        <w:t xml:space="preserve">% con respecto a lo ejecutado en </w:t>
      </w:r>
      <w:r w:rsidR="002F78F5" w:rsidRPr="007223FB">
        <w:t>el año</w:t>
      </w:r>
      <w:r w:rsidRPr="007223FB">
        <w:t xml:space="preserve"> 2018, que fue de Q1</w:t>
      </w:r>
      <w:r w:rsidR="002F78F5" w:rsidRPr="007223FB">
        <w:t>, 588.44</w:t>
      </w:r>
      <w:r w:rsidRPr="007223FB">
        <w:t xml:space="preserve"> millones.   </w:t>
      </w:r>
    </w:p>
    <w:p w:rsidR="006F723D" w:rsidRDefault="006F723D">
      <w:pPr>
        <w:jc w:val="left"/>
        <w:rPr>
          <w:rFonts w:cs="Times New Roman"/>
          <w:b/>
        </w:rPr>
      </w:pPr>
      <w:r>
        <w:rPr>
          <w:rFonts w:cs="Times New Roman"/>
          <w:b/>
        </w:rPr>
        <w:br w:type="page"/>
      </w:r>
    </w:p>
    <w:p w:rsidR="007223FB" w:rsidRPr="00A17383" w:rsidRDefault="007223FB" w:rsidP="00A17383">
      <w:pPr>
        <w:pStyle w:val="Ttulo4"/>
        <w:numPr>
          <w:ilvl w:val="0"/>
          <w:numId w:val="0"/>
        </w:numPr>
        <w:ind w:left="864"/>
        <w:rPr>
          <w:rFonts w:ascii="Candara" w:hAnsi="Candara"/>
          <w:b/>
          <w:color w:val="auto"/>
          <w:sz w:val="18"/>
        </w:rPr>
      </w:pPr>
      <w:bookmarkStart w:id="57" w:name="_Toc19524691"/>
      <w:r w:rsidRPr="00A17383">
        <w:rPr>
          <w:rFonts w:ascii="Candara" w:hAnsi="Candara"/>
          <w:b/>
          <w:color w:val="auto"/>
          <w:sz w:val="18"/>
        </w:rPr>
        <w:lastRenderedPageBreak/>
        <w:t>Cuadro</w:t>
      </w:r>
      <w:r w:rsidR="009B30CD">
        <w:rPr>
          <w:rFonts w:ascii="Candara" w:hAnsi="Candara"/>
          <w:b/>
          <w:color w:val="auto"/>
          <w:sz w:val="18"/>
        </w:rPr>
        <w:t xml:space="preserve"> 5</w:t>
      </w:r>
      <w:r w:rsidR="00A17383">
        <w:rPr>
          <w:rFonts w:ascii="Candara" w:hAnsi="Candara"/>
          <w:b/>
          <w:color w:val="auto"/>
          <w:sz w:val="18"/>
        </w:rPr>
        <w:br/>
      </w:r>
      <w:r w:rsidRPr="00A17383">
        <w:rPr>
          <w:rFonts w:ascii="Candara" w:hAnsi="Candara"/>
          <w:b/>
          <w:color w:val="auto"/>
          <w:sz w:val="18"/>
        </w:rPr>
        <w:t>Inversión pública asignada y ejecutada por el</w:t>
      </w:r>
      <w:r w:rsidR="00A17383">
        <w:rPr>
          <w:rFonts w:ascii="Candara" w:hAnsi="Candara"/>
          <w:b/>
          <w:color w:val="auto"/>
          <w:sz w:val="18"/>
        </w:rPr>
        <w:br/>
      </w:r>
      <w:r w:rsidRPr="00A17383">
        <w:rPr>
          <w:rFonts w:ascii="Candara" w:hAnsi="Candara"/>
          <w:b/>
          <w:color w:val="auto"/>
          <w:sz w:val="18"/>
        </w:rPr>
        <w:t>Gobierno Central y Empresas Públicas no Financieras Nacionales</w:t>
      </w:r>
      <w:r w:rsidR="00A17383">
        <w:rPr>
          <w:rFonts w:ascii="Candara" w:hAnsi="Candara"/>
          <w:b/>
          <w:color w:val="auto"/>
          <w:sz w:val="18"/>
        </w:rPr>
        <w:br/>
      </w:r>
      <w:r w:rsidRPr="00A17383">
        <w:rPr>
          <w:rFonts w:ascii="Candara" w:hAnsi="Candara"/>
          <w:b/>
          <w:color w:val="auto"/>
          <w:sz w:val="18"/>
        </w:rPr>
        <w:t>Ejercicio Fiscal 2019</w:t>
      </w:r>
      <w:r w:rsidR="00A17383">
        <w:rPr>
          <w:rFonts w:ascii="Candara" w:hAnsi="Candara"/>
          <w:b/>
          <w:color w:val="auto"/>
          <w:sz w:val="18"/>
        </w:rPr>
        <w:br/>
      </w:r>
      <w:r w:rsidRPr="00A17383">
        <w:rPr>
          <w:rFonts w:ascii="Candara" w:hAnsi="Candara"/>
          <w:b/>
          <w:color w:val="auto"/>
          <w:sz w:val="18"/>
        </w:rPr>
        <w:t>(Millones de Quetzales)</w:t>
      </w:r>
      <w:bookmarkEnd w:id="57"/>
    </w:p>
    <w:tbl>
      <w:tblPr>
        <w:tblStyle w:val="Tabladecuadrcula4-nfasis51"/>
        <w:tblW w:w="5000" w:type="pct"/>
        <w:tblLook w:val="04A0" w:firstRow="1" w:lastRow="0" w:firstColumn="1" w:lastColumn="0" w:noHBand="0" w:noVBand="1"/>
      </w:tblPr>
      <w:tblGrid>
        <w:gridCol w:w="4078"/>
        <w:gridCol w:w="1127"/>
        <w:gridCol w:w="1582"/>
        <w:gridCol w:w="1582"/>
        <w:gridCol w:w="1061"/>
      </w:tblGrid>
      <w:tr w:rsidR="007223FB" w:rsidRPr="002A71A7" w:rsidTr="000E55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noWrap/>
            <w:hideMark/>
          </w:tcPr>
          <w:p w:rsidR="007223FB" w:rsidRPr="002A71A7" w:rsidRDefault="007223FB" w:rsidP="000E557D">
            <w:pPr>
              <w:jc w:val="center"/>
              <w:rPr>
                <w:rFonts w:eastAsia="Times New Roman" w:cs="Times New Roman"/>
                <w:sz w:val="20"/>
                <w:szCs w:val="20"/>
              </w:rPr>
            </w:pPr>
            <w:r w:rsidRPr="002A71A7">
              <w:rPr>
                <w:rFonts w:eastAsia="Times New Roman" w:cs="Times New Roman"/>
                <w:sz w:val="20"/>
                <w:szCs w:val="20"/>
              </w:rPr>
              <w:t>Entidad</w:t>
            </w:r>
          </w:p>
        </w:tc>
        <w:tc>
          <w:tcPr>
            <w:tcW w:w="600"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Cantidad de proyectos</w:t>
            </w:r>
          </w:p>
        </w:tc>
        <w:tc>
          <w:tcPr>
            <w:tcW w:w="841"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Monto asignado</w:t>
            </w:r>
          </w:p>
        </w:tc>
        <w:tc>
          <w:tcPr>
            <w:tcW w:w="841"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Monto ejecutado</w:t>
            </w:r>
          </w:p>
        </w:tc>
        <w:tc>
          <w:tcPr>
            <w:tcW w:w="553"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 monto ejecutado</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Confederación Deportiva Autónoma de Guatemala</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6.87</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0.87</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12.6</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Empresa Portuaria Nacional Santo Tomas de Castilla</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48.72</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0.00</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Empresa Portuaria Quetzal</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27.70</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0.00</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Escuela Nacional Central de Agricultura</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49.47</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1.62</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3.3</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Fondo de Tierras</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157.09</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43.73</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27.8</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Instituto de Fomento Municipal</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28</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75.67</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17.62</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23.3</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Instituto Guatemalteco de Seguridad Social</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18</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108.59</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0.00</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Instituto Nacional de Ciencias Forenses de Guatemala</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4.60</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2.97</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64.6</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Instituto Nacional de Electrificación</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24</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49.82</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17.55</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35.2</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Instituto Técnico de Capacitación y Productividad</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169.00</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72.82</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43.1</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Agricultura, Ganadería y Alimentación</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37.25</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11.56</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31.0</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Comunicaciones, Infraestructura y Vivienda</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220</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3,635.41</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2,290.79</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63.0</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Cultura y deportes</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22</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63.16</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10.28</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16.3</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Desarrollo Social</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40</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75.23</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9.77</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13.0</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Economía</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119.77</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61.24</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51.1</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Educación</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22</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164.53</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17.31</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10.5</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Gobernación</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20</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144.35</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10.88</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7.5</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Ministerio de Salud Pública y Asistencia Social</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34</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142.06</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29.85</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21.0</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Organismo Judicial</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25.50</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0.00</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0.0</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Registro de Información Catastral de Guatemala -RIC-</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24.27</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5.95</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24.5</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Secretaria Ejecutiva de la Instancia Coordinadora de Modernización del Sector Justicia</w:t>
            </w:r>
          </w:p>
        </w:tc>
        <w:tc>
          <w:tcPr>
            <w:tcW w:w="600"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10.16</w:t>
            </w:r>
          </w:p>
        </w:tc>
        <w:tc>
          <w:tcPr>
            <w:tcW w:w="841"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0.16</w:t>
            </w:r>
          </w:p>
        </w:tc>
        <w:tc>
          <w:tcPr>
            <w:tcW w:w="55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1.5</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2165" w:type="pct"/>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Total General</w:t>
            </w:r>
          </w:p>
        </w:tc>
        <w:tc>
          <w:tcPr>
            <w:tcW w:w="600"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493</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5,139.23</w:t>
            </w:r>
          </w:p>
        </w:tc>
        <w:tc>
          <w:tcPr>
            <w:tcW w:w="841"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2,604.96</w:t>
            </w:r>
          </w:p>
        </w:tc>
        <w:tc>
          <w:tcPr>
            <w:tcW w:w="55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50.7</w:t>
            </w:r>
          </w:p>
        </w:tc>
      </w:tr>
    </w:tbl>
    <w:p w:rsidR="007223FB" w:rsidRPr="007223FB" w:rsidRDefault="007223FB" w:rsidP="007223FB">
      <w:pPr>
        <w:jc w:val="left"/>
        <w:rPr>
          <w:rFonts w:cs="Times New Roman"/>
        </w:rPr>
      </w:pPr>
      <w:r w:rsidRPr="007223FB">
        <w:rPr>
          <w:rFonts w:cs="Times New Roman"/>
          <w:b/>
        </w:rPr>
        <w:t>Fuente</w:t>
      </w:r>
      <w:r w:rsidRPr="007223FB">
        <w:rPr>
          <w:rFonts w:cs="Times New Roman"/>
        </w:rPr>
        <w:t>: elaboración Segeplán con base en datos del Sistema Nacional de Inversión Pública (SNIP) de fecha al 2.09.2019</w:t>
      </w:r>
    </w:p>
    <w:p w:rsidR="007223FB" w:rsidRPr="007223FB" w:rsidRDefault="007223FB" w:rsidP="000B07D9">
      <w:pPr>
        <w:pStyle w:val="Ttulo2"/>
        <w:numPr>
          <w:ilvl w:val="1"/>
          <w:numId w:val="7"/>
        </w:numPr>
        <w:spacing w:before="120" w:after="120" w:line="240" w:lineRule="auto"/>
        <w:rPr>
          <w:szCs w:val="22"/>
        </w:rPr>
      </w:pPr>
      <w:bookmarkStart w:id="58" w:name="_Toc492375615"/>
      <w:bookmarkStart w:id="59" w:name="_Toc19201212"/>
      <w:bookmarkStart w:id="60" w:name="_Toc19527441"/>
      <w:r w:rsidRPr="007223FB">
        <w:rPr>
          <w:szCs w:val="22"/>
        </w:rPr>
        <w:t>Inversión pública asignada y ejecutada por los Consejos Departamentales de Desarrollo</w:t>
      </w:r>
      <w:bookmarkEnd w:id="58"/>
      <w:bookmarkEnd w:id="59"/>
      <w:bookmarkEnd w:id="60"/>
    </w:p>
    <w:p w:rsidR="007223FB" w:rsidRPr="007223FB" w:rsidRDefault="007223FB" w:rsidP="002A71A7">
      <w:pPr>
        <w:spacing w:before="120" w:after="120" w:line="240" w:lineRule="auto"/>
        <w:rPr>
          <w:rFonts w:cs="Times New Roman"/>
        </w:rPr>
      </w:pPr>
      <w:r w:rsidRPr="007223FB">
        <w:rPr>
          <w:rFonts w:cs="Times New Roman"/>
        </w:rPr>
        <w:t>Los Consejos Departamentales de Desarrollo registraron en total un monto asignado de Q2</w:t>
      </w:r>
      <w:r w:rsidR="00615BA2" w:rsidRPr="007223FB">
        <w:rPr>
          <w:rFonts w:cs="Times New Roman"/>
        </w:rPr>
        <w:t>, 652.83</w:t>
      </w:r>
      <w:r w:rsidRPr="007223FB">
        <w:rPr>
          <w:rFonts w:cs="Times New Roman"/>
        </w:rPr>
        <w:t xml:space="preserve"> millones, el cual representa el 29.1% del total a nivel nacional. La distribución de la inversión entre los veintidós departamentos se puede considerar uniforme de acuerdo a los criterios legalmente establecidos, ante lo cual, en el departamento de Guatemala se concentra el mayor porcentaje de inversión, con el 12.4% del total de las transferencias administrada por los Codedes, seguido por Huehuetenango (7.2%) y San Marcos (6.1%).   (Ver cuadro 4). En cuanto al nivel de ejecución,  independiente del monto de inversión asignada, de los veintiún departamentos que reportaron ejecución, Escuintla tiene 48.0%,  El Progreso alcanzó 33.5%, Petén 31.2% y Sololá 30.7%.  En </w:t>
      </w:r>
      <w:r w:rsidRPr="007223FB">
        <w:rPr>
          <w:rFonts w:cs="Times New Roman"/>
        </w:rPr>
        <w:lastRenderedPageBreak/>
        <w:t xml:space="preserve">promedio, en este nivel </w:t>
      </w:r>
      <w:r w:rsidR="00615BA2" w:rsidRPr="007223FB">
        <w:rPr>
          <w:rFonts w:cs="Times New Roman"/>
        </w:rPr>
        <w:t>territorial se</w:t>
      </w:r>
      <w:r w:rsidRPr="007223FB">
        <w:rPr>
          <w:rFonts w:cs="Times New Roman"/>
        </w:rPr>
        <w:t xml:space="preserve"> alcanzó una variación con respecto a lo ejecutado en el mismo cuatrimestre en el año 2018 de 488.2</w:t>
      </w:r>
      <w:r w:rsidR="00615BA2" w:rsidRPr="007223FB">
        <w:rPr>
          <w:rFonts w:cs="Times New Roman"/>
        </w:rPr>
        <w:t>. %</w:t>
      </w:r>
      <w:r w:rsidRPr="007223FB">
        <w:rPr>
          <w:rFonts w:cs="Times New Roman"/>
        </w:rPr>
        <w:t xml:space="preserve"> de ejecución, que fue de Q64.20 millones.</w:t>
      </w:r>
    </w:p>
    <w:p w:rsidR="007223FB" w:rsidRPr="00A17383" w:rsidRDefault="007223FB" w:rsidP="00A17383">
      <w:pPr>
        <w:pStyle w:val="Ttulo4"/>
        <w:numPr>
          <w:ilvl w:val="0"/>
          <w:numId w:val="0"/>
        </w:numPr>
        <w:ind w:left="864"/>
        <w:rPr>
          <w:rFonts w:ascii="Candara" w:hAnsi="Candara"/>
          <w:b/>
          <w:color w:val="auto"/>
          <w:sz w:val="18"/>
        </w:rPr>
      </w:pPr>
      <w:bookmarkStart w:id="61" w:name="_Toc19524692"/>
      <w:r w:rsidRPr="00A17383">
        <w:rPr>
          <w:rFonts w:ascii="Candara" w:hAnsi="Candara"/>
          <w:b/>
          <w:color w:val="auto"/>
          <w:sz w:val="18"/>
        </w:rPr>
        <w:t xml:space="preserve">Cuadro </w:t>
      </w:r>
      <w:r w:rsidR="009B30CD">
        <w:rPr>
          <w:rFonts w:ascii="Candara" w:hAnsi="Candara"/>
          <w:b/>
          <w:color w:val="auto"/>
          <w:sz w:val="18"/>
        </w:rPr>
        <w:t>6</w:t>
      </w:r>
      <w:r w:rsidR="00A17383">
        <w:rPr>
          <w:rFonts w:ascii="Candara" w:hAnsi="Candara"/>
          <w:b/>
          <w:color w:val="auto"/>
          <w:sz w:val="18"/>
        </w:rPr>
        <w:br/>
      </w:r>
      <w:r w:rsidRPr="00A17383">
        <w:rPr>
          <w:rFonts w:ascii="Candara" w:hAnsi="Candara"/>
          <w:b/>
          <w:color w:val="auto"/>
          <w:sz w:val="18"/>
        </w:rPr>
        <w:t>Inversión pública asignada y ejecutada por los Consejos Departamentales de</w:t>
      </w:r>
      <w:r w:rsidR="00A17383">
        <w:rPr>
          <w:rFonts w:ascii="Candara" w:hAnsi="Candara"/>
          <w:b/>
          <w:color w:val="auto"/>
          <w:sz w:val="18"/>
        </w:rPr>
        <w:t xml:space="preserve"> D</w:t>
      </w:r>
      <w:r w:rsidRPr="00A17383">
        <w:rPr>
          <w:rFonts w:ascii="Candara" w:hAnsi="Candara"/>
          <w:b/>
          <w:color w:val="auto"/>
          <w:sz w:val="18"/>
        </w:rPr>
        <w:t>esarrollo</w:t>
      </w:r>
      <w:r w:rsidR="00A17383">
        <w:rPr>
          <w:rFonts w:ascii="Candara" w:hAnsi="Candara"/>
          <w:b/>
          <w:color w:val="auto"/>
          <w:sz w:val="18"/>
        </w:rPr>
        <w:br/>
      </w:r>
      <w:r w:rsidRPr="00A17383">
        <w:rPr>
          <w:rFonts w:ascii="Candara" w:hAnsi="Candara"/>
          <w:b/>
          <w:color w:val="auto"/>
          <w:sz w:val="18"/>
        </w:rPr>
        <w:t>Ejercicio Fiscal 2019</w:t>
      </w:r>
      <w:r w:rsidR="00A17383">
        <w:rPr>
          <w:rFonts w:ascii="Candara" w:hAnsi="Candara"/>
          <w:b/>
          <w:color w:val="auto"/>
          <w:sz w:val="18"/>
        </w:rPr>
        <w:br/>
      </w:r>
      <w:r w:rsidRPr="00A17383">
        <w:rPr>
          <w:rFonts w:ascii="Candara" w:hAnsi="Candara"/>
          <w:b/>
          <w:color w:val="auto"/>
          <w:sz w:val="18"/>
        </w:rPr>
        <w:t>(Millones de Quetzales)</w:t>
      </w:r>
      <w:bookmarkEnd w:id="61"/>
    </w:p>
    <w:tbl>
      <w:tblPr>
        <w:tblStyle w:val="Tabladecuadrcula4-nfasis51"/>
        <w:tblW w:w="5000" w:type="pct"/>
        <w:tblLook w:val="04A0" w:firstRow="1" w:lastRow="0" w:firstColumn="1" w:lastColumn="0" w:noHBand="0" w:noVBand="1"/>
      </w:tblPr>
      <w:tblGrid>
        <w:gridCol w:w="3175"/>
        <w:gridCol w:w="1881"/>
        <w:gridCol w:w="1458"/>
        <w:gridCol w:w="1458"/>
        <w:gridCol w:w="1458"/>
      </w:tblGrid>
      <w:tr w:rsidR="007223FB" w:rsidRPr="007223FB" w:rsidTr="000E55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rPr>
            </w:pPr>
            <w:r w:rsidRPr="007223FB">
              <w:rPr>
                <w:rFonts w:eastAsia="Times New Roman" w:cs="Times New Roman"/>
              </w:rPr>
              <w:t>Departamento</w:t>
            </w:r>
          </w:p>
        </w:tc>
        <w:tc>
          <w:tcPr>
            <w:tcW w:w="997" w:type="pct"/>
            <w:hideMark/>
          </w:tcPr>
          <w:p w:rsidR="007223FB" w:rsidRPr="007223FB"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Cantidad de proyectos</w:t>
            </w:r>
          </w:p>
        </w:tc>
        <w:tc>
          <w:tcPr>
            <w:tcW w:w="773" w:type="pct"/>
            <w:hideMark/>
          </w:tcPr>
          <w:p w:rsidR="007223FB" w:rsidRPr="007223FB"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Monto asignado</w:t>
            </w:r>
          </w:p>
        </w:tc>
        <w:tc>
          <w:tcPr>
            <w:tcW w:w="773" w:type="pct"/>
            <w:hideMark/>
          </w:tcPr>
          <w:p w:rsidR="007223FB" w:rsidRPr="007223FB"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Monto ejecutado</w:t>
            </w:r>
          </w:p>
        </w:tc>
        <w:tc>
          <w:tcPr>
            <w:tcW w:w="773" w:type="pct"/>
            <w:hideMark/>
          </w:tcPr>
          <w:p w:rsidR="007223FB" w:rsidRPr="007223FB"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 monto ejecutado</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Alta Verapaz</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147</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158.69</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24.51</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15.4</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Baja Verapaz</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89</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78.50</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19.81</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25.2</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Chimaltenango</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134</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109.36</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9.90</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9.1</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Chiquimula</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135</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97.56</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4.97</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5.1</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El Progreso</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112</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64.35</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21.55</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33.5</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Escuintla</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70</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105.97</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50.92</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48.0</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Guatemala</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184</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329.15</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13.65</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4.1</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Huehuetenango</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165</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190.82</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22.56</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11.8</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Izabal</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77</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81.54</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10.00</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12.3</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Jalapa</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80</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81.25</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6.32</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7.8</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Jutiapa</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92</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107.07</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23.18</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21.7</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Petén</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217</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157.26</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49.02</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31.2</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Quetzaltenango</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127</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128.50</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8.54</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6.6</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Quiché</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263</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151.02</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17.13</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11.3</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Retalhuleu</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145</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78.06</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3.14</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4.0</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Sacatepéquez</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44</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82.12</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9.11</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11.1</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San Marcos</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161</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162.91</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14.39</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8.8</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Santa Rosa</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89</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89.45</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17.27</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19.3</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Sololá</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96</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112.06</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34.40</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30.7</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Suchitepéquez</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143</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114.81</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10.60</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9.2</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Totonicapán</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164</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96.20</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1.02</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223FB">
              <w:rPr>
                <w:rFonts w:eastAsia="Times New Roman" w:cs="Times New Roman"/>
              </w:rPr>
              <w:t>1.1</w:t>
            </w:r>
          </w:p>
        </w:tc>
      </w:tr>
      <w:tr w:rsidR="007223FB" w:rsidRPr="007223FB" w:rsidTr="000E557D">
        <w:trPr>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b w:val="0"/>
              </w:rPr>
            </w:pPr>
            <w:r w:rsidRPr="007223FB">
              <w:rPr>
                <w:rFonts w:eastAsia="Times New Roman" w:cs="Times New Roman"/>
                <w:b w:val="0"/>
              </w:rPr>
              <w:t>Zacapa</w:t>
            </w:r>
          </w:p>
        </w:tc>
        <w:tc>
          <w:tcPr>
            <w:tcW w:w="997"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148</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76.19</w:t>
            </w:r>
          </w:p>
        </w:tc>
        <w:tc>
          <w:tcPr>
            <w:tcW w:w="773" w:type="pct"/>
            <w:noWrap/>
            <w:hideMark/>
          </w:tcPr>
          <w:p w:rsidR="007223FB" w:rsidRPr="007223FB"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5.62</w:t>
            </w:r>
          </w:p>
        </w:tc>
        <w:tc>
          <w:tcPr>
            <w:tcW w:w="773" w:type="pct"/>
            <w:noWrap/>
            <w:hideMark/>
          </w:tcPr>
          <w:p w:rsidR="007223FB" w:rsidRPr="007223FB"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223FB">
              <w:rPr>
                <w:rFonts w:eastAsia="Times New Roman" w:cs="Times New Roman"/>
              </w:rPr>
              <w:t>7.4</w:t>
            </w:r>
          </w:p>
        </w:tc>
      </w:tr>
      <w:tr w:rsidR="007223FB" w:rsidRPr="007223FB"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3" w:type="pct"/>
            <w:noWrap/>
            <w:hideMark/>
          </w:tcPr>
          <w:p w:rsidR="007223FB" w:rsidRPr="007223FB" w:rsidRDefault="007223FB" w:rsidP="000E557D">
            <w:pPr>
              <w:jc w:val="left"/>
              <w:rPr>
                <w:rFonts w:eastAsia="Times New Roman" w:cs="Times New Roman"/>
              </w:rPr>
            </w:pPr>
            <w:r w:rsidRPr="007223FB">
              <w:rPr>
                <w:rFonts w:eastAsia="Times New Roman" w:cs="Times New Roman"/>
              </w:rPr>
              <w:t>Total general</w:t>
            </w:r>
          </w:p>
        </w:tc>
        <w:tc>
          <w:tcPr>
            <w:tcW w:w="997"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7223FB">
              <w:rPr>
                <w:rFonts w:eastAsia="Times New Roman" w:cs="Times New Roman"/>
                <w:b/>
              </w:rPr>
              <w:t>2882</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7223FB">
              <w:rPr>
                <w:rFonts w:eastAsia="Times New Roman" w:cs="Times New Roman"/>
                <w:b/>
              </w:rPr>
              <w:t>2,652.83</w:t>
            </w:r>
          </w:p>
        </w:tc>
        <w:tc>
          <w:tcPr>
            <w:tcW w:w="773" w:type="pct"/>
            <w:noWrap/>
            <w:hideMark/>
          </w:tcPr>
          <w:p w:rsidR="007223FB" w:rsidRPr="007223FB"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7223FB">
              <w:rPr>
                <w:rFonts w:eastAsia="Times New Roman" w:cs="Times New Roman"/>
                <w:b/>
              </w:rPr>
              <w:t>377.59</w:t>
            </w:r>
          </w:p>
        </w:tc>
        <w:tc>
          <w:tcPr>
            <w:tcW w:w="773" w:type="pct"/>
            <w:noWrap/>
            <w:hideMark/>
          </w:tcPr>
          <w:p w:rsidR="007223FB" w:rsidRPr="007223FB"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rPr>
            </w:pPr>
            <w:r w:rsidRPr="007223FB">
              <w:rPr>
                <w:rFonts w:eastAsia="Times New Roman" w:cs="Times New Roman"/>
                <w:b/>
              </w:rPr>
              <w:t>14.2</w:t>
            </w:r>
          </w:p>
        </w:tc>
      </w:tr>
    </w:tbl>
    <w:p w:rsidR="007223FB" w:rsidRPr="007223FB" w:rsidRDefault="007223FB" w:rsidP="007223FB">
      <w:pPr>
        <w:jc w:val="left"/>
        <w:rPr>
          <w:rFonts w:cs="Times New Roman"/>
        </w:rPr>
      </w:pPr>
      <w:r w:rsidRPr="007223FB">
        <w:rPr>
          <w:rFonts w:cs="Times New Roman"/>
          <w:b/>
        </w:rPr>
        <w:t>Fuente:</w:t>
      </w:r>
      <w:r w:rsidR="00615BA2">
        <w:rPr>
          <w:rFonts w:cs="Times New Roman"/>
        </w:rPr>
        <w:t xml:space="preserve"> elaboración SEGEPLAN</w:t>
      </w:r>
      <w:r w:rsidRPr="007223FB">
        <w:rPr>
          <w:rFonts w:cs="Times New Roman"/>
        </w:rPr>
        <w:t xml:space="preserve"> con base en datos del Sistema Nacional de Inversión Pública (SNIP) de fecha al 2.09.2019</w:t>
      </w:r>
    </w:p>
    <w:p w:rsidR="007223FB" w:rsidRPr="007223FB" w:rsidRDefault="007223FB" w:rsidP="000B07D9">
      <w:pPr>
        <w:pStyle w:val="Ttulo2"/>
        <w:numPr>
          <w:ilvl w:val="1"/>
          <w:numId w:val="7"/>
        </w:numPr>
        <w:spacing w:before="120" w:after="120" w:line="240" w:lineRule="auto"/>
        <w:rPr>
          <w:szCs w:val="22"/>
        </w:rPr>
      </w:pPr>
      <w:bookmarkStart w:id="62" w:name="_Toc492375616"/>
      <w:bookmarkStart w:id="63" w:name="_Toc19201213"/>
      <w:bookmarkStart w:id="64" w:name="_Toc19527442"/>
      <w:r w:rsidRPr="007223FB">
        <w:rPr>
          <w:szCs w:val="22"/>
        </w:rPr>
        <w:t>Inversión pública asignada y ejecutada por los Gobiernos Locales</w:t>
      </w:r>
      <w:bookmarkEnd w:id="62"/>
      <w:bookmarkEnd w:id="63"/>
      <w:bookmarkEnd w:id="64"/>
    </w:p>
    <w:p w:rsidR="007223FB" w:rsidRPr="007223FB" w:rsidRDefault="007223FB" w:rsidP="00475FEA">
      <w:pPr>
        <w:spacing w:before="120" w:after="120" w:line="240" w:lineRule="auto"/>
        <w:rPr>
          <w:rFonts w:cs="Times New Roman"/>
        </w:rPr>
      </w:pPr>
      <w:r w:rsidRPr="007223FB">
        <w:rPr>
          <w:rFonts w:cs="Times New Roman"/>
        </w:rPr>
        <w:t>Los Gobiernos Locales registraron</w:t>
      </w:r>
      <w:r w:rsidRPr="007223FB">
        <w:rPr>
          <w:rStyle w:val="Refdenotaalpie"/>
          <w:rFonts w:cs="Times New Roman"/>
        </w:rPr>
        <w:footnoteReference w:id="4"/>
      </w:r>
      <w:r w:rsidRPr="007223FB">
        <w:rPr>
          <w:rFonts w:cs="Times New Roman"/>
        </w:rPr>
        <w:t xml:space="preserve">  un monto asignado de Q1</w:t>
      </w:r>
      <w:r w:rsidR="00615BA2" w:rsidRPr="007223FB">
        <w:rPr>
          <w:rFonts w:cs="Times New Roman"/>
        </w:rPr>
        <w:t>, 332.80</w:t>
      </w:r>
      <w:r w:rsidRPr="007223FB">
        <w:rPr>
          <w:rFonts w:cs="Times New Roman"/>
        </w:rPr>
        <w:t xml:space="preserve"> millones, lo cual representa el 14.6% del total registrado en el SNIP a nivel nacional. La distribución de la inversión entre los veintidós departamentos, Guatemala registró el mayor porcentaje, el 19.3%, seguido por los departamentos de San Marcos (8.7%), Escuintla (8.4%) y Petén (8.4%).</w:t>
      </w:r>
    </w:p>
    <w:p w:rsidR="007223FB" w:rsidRPr="007223FB" w:rsidRDefault="007223FB" w:rsidP="00475FEA">
      <w:pPr>
        <w:spacing w:before="120" w:after="120" w:line="240" w:lineRule="auto"/>
        <w:rPr>
          <w:rFonts w:cs="Times New Roman"/>
        </w:rPr>
      </w:pPr>
      <w:r w:rsidRPr="007223FB">
        <w:rPr>
          <w:rFonts w:cs="Times New Roman"/>
        </w:rPr>
        <w:t xml:space="preserve">En el cuadro 5 se observa que a nivel departamental, siete departamentos han alcanzado una ejecución superior al 50.0%, estos son: Chimaltenango (52.8%), El Progreso (56.2%), Escuintla (58.0%), Huehuetenango (58.9%), Retalhuleu (69.2%), Suchitepéquez (62.0%) y Totonicapán (55.2%). </w:t>
      </w:r>
      <w:r w:rsidRPr="007223FB">
        <w:rPr>
          <w:rFonts w:cs="Times New Roman"/>
        </w:rPr>
        <w:tab/>
      </w:r>
    </w:p>
    <w:p w:rsidR="007223FB" w:rsidRPr="00A17383" w:rsidRDefault="007223FB" w:rsidP="00A17383">
      <w:pPr>
        <w:pStyle w:val="Ttulo4"/>
        <w:numPr>
          <w:ilvl w:val="0"/>
          <w:numId w:val="0"/>
        </w:numPr>
        <w:ind w:left="864"/>
        <w:rPr>
          <w:rFonts w:ascii="Candara" w:hAnsi="Candara"/>
          <w:b/>
          <w:color w:val="auto"/>
          <w:sz w:val="18"/>
        </w:rPr>
      </w:pPr>
      <w:bookmarkStart w:id="65" w:name="_Toc19524693"/>
      <w:r w:rsidRPr="00A17383">
        <w:rPr>
          <w:rFonts w:ascii="Candara" w:hAnsi="Candara"/>
          <w:b/>
          <w:color w:val="auto"/>
          <w:sz w:val="18"/>
        </w:rPr>
        <w:lastRenderedPageBreak/>
        <w:t xml:space="preserve">Cuadro </w:t>
      </w:r>
      <w:r w:rsidR="009B30CD">
        <w:rPr>
          <w:rFonts w:ascii="Candara" w:hAnsi="Candara"/>
          <w:b/>
          <w:color w:val="auto"/>
          <w:sz w:val="18"/>
        </w:rPr>
        <w:t>7</w:t>
      </w:r>
      <w:r w:rsidR="00A17383">
        <w:rPr>
          <w:rFonts w:ascii="Candara" w:hAnsi="Candara"/>
          <w:b/>
          <w:color w:val="auto"/>
          <w:sz w:val="18"/>
        </w:rPr>
        <w:br/>
      </w:r>
      <w:r w:rsidRPr="00A17383">
        <w:rPr>
          <w:rFonts w:ascii="Candara" w:hAnsi="Candara"/>
          <w:b/>
          <w:color w:val="auto"/>
          <w:sz w:val="18"/>
        </w:rPr>
        <w:t>Inversión pública asignada y ejecutada por los Gobiernos Locales</w:t>
      </w:r>
      <w:r w:rsidR="00A17383">
        <w:rPr>
          <w:rFonts w:ascii="Candara" w:hAnsi="Candara"/>
          <w:b/>
          <w:color w:val="auto"/>
          <w:sz w:val="18"/>
        </w:rPr>
        <w:br/>
      </w:r>
      <w:r w:rsidRPr="00A17383">
        <w:rPr>
          <w:rFonts w:ascii="Candara" w:hAnsi="Candara"/>
          <w:b/>
          <w:color w:val="auto"/>
          <w:sz w:val="18"/>
        </w:rPr>
        <w:t>Ejercicio Fiscal 2019</w:t>
      </w:r>
      <w:r w:rsidR="00A17383">
        <w:rPr>
          <w:rFonts w:ascii="Candara" w:hAnsi="Candara"/>
          <w:b/>
          <w:color w:val="auto"/>
          <w:sz w:val="18"/>
        </w:rPr>
        <w:br/>
      </w:r>
      <w:r w:rsidRPr="00A17383">
        <w:rPr>
          <w:rFonts w:ascii="Candara" w:hAnsi="Candara"/>
          <w:b/>
          <w:color w:val="auto"/>
          <w:sz w:val="18"/>
        </w:rPr>
        <w:t>(Millones de Quetzales)</w:t>
      </w:r>
      <w:bookmarkEnd w:id="65"/>
    </w:p>
    <w:tbl>
      <w:tblPr>
        <w:tblStyle w:val="Tabladecuadrcula4-nfasis51"/>
        <w:tblW w:w="5000" w:type="pct"/>
        <w:tblLook w:val="04A0" w:firstRow="1" w:lastRow="0" w:firstColumn="1" w:lastColumn="0" w:noHBand="0" w:noVBand="1"/>
      </w:tblPr>
      <w:tblGrid>
        <w:gridCol w:w="3694"/>
        <w:gridCol w:w="1362"/>
        <w:gridCol w:w="1458"/>
        <w:gridCol w:w="1458"/>
        <w:gridCol w:w="1458"/>
      </w:tblGrid>
      <w:tr w:rsidR="007223FB" w:rsidRPr="002A71A7" w:rsidTr="000E557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center"/>
              <w:rPr>
                <w:rFonts w:eastAsia="Times New Roman" w:cs="Times New Roman"/>
                <w:sz w:val="20"/>
                <w:szCs w:val="20"/>
              </w:rPr>
            </w:pPr>
            <w:r w:rsidRPr="002A71A7">
              <w:rPr>
                <w:rFonts w:eastAsia="Times New Roman" w:cs="Times New Roman"/>
                <w:sz w:val="20"/>
                <w:szCs w:val="20"/>
              </w:rPr>
              <w:t>Departamento</w:t>
            </w:r>
          </w:p>
        </w:tc>
        <w:tc>
          <w:tcPr>
            <w:tcW w:w="722"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Cantidad de proyectos</w:t>
            </w:r>
          </w:p>
        </w:tc>
        <w:tc>
          <w:tcPr>
            <w:tcW w:w="773"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Monto asignado</w:t>
            </w:r>
          </w:p>
        </w:tc>
        <w:tc>
          <w:tcPr>
            <w:tcW w:w="773"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Monto ejecutado</w:t>
            </w:r>
          </w:p>
        </w:tc>
        <w:tc>
          <w:tcPr>
            <w:tcW w:w="773" w:type="pct"/>
            <w:hideMark/>
          </w:tcPr>
          <w:p w:rsidR="007223FB" w:rsidRPr="002A71A7" w:rsidRDefault="007223FB" w:rsidP="000E557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 monto ejecutado</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Alta Verapaz</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62</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41.45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12.94</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3.1</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Baja Verapaz</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38</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33.52</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12.55</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2.5</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Chimaltenango</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109</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55.54</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29.30</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4.2</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Chiquimula</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104</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67.86</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24.37</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5.1</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El Progreso</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19</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11.57</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6.50</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0.9</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Escuintla</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65</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112.40</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65.20</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8.4</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Guatemala</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136</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256.96</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70.60</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19.3</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Huehuetenango</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80</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29.72</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17.51</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2.2</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Izabal</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40.76</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8.04</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3.1</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Jalapa</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37</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36.73</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11.84</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2.8</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Jutiapa</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38.65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16.95</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2.9</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Petén</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139</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112.01</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47.29</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8.4</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Quetzaltenango</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117</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110.83</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40.62</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8.3</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Quiché</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53</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30.29</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11.08</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2.3</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Retalhuleu</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21</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7.70</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5.33</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0.6</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Sacatepéquez</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99</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79.64</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36.63</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6.0</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San Marcos</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214</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116.01</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44.31</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8.7</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Santa Rosa</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59</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44.37</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21.51</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3.3</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Sololá</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36.96</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13.21</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2.8</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uchitepéquez</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40</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21.52</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13.35</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Totonicapán</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45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17.28</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9.53</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w:t>
            </w:r>
          </w:p>
        </w:tc>
      </w:tr>
      <w:tr w:rsidR="007223FB" w:rsidRPr="002A71A7" w:rsidTr="000E557D">
        <w:trPr>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Zacapa</w:t>
            </w:r>
          </w:p>
        </w:tc>
        <w:tc>
          <w:tcPr>
            <w:tcW w:w="722"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55</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31.02</w:t>
            </w:r>
          </w:p>
        </w:tc>
        <w:tc>
          <w:tcPr>
            <w:tcW w:w="773" w:type="pct"/>
            <w:noWrap/>
            <w:hideMark/>
          </w:tcPr>
          <w:p w:rsidR="007223FB" w:rsidRPr="002A71A7" w:rsidRDefault="007223FB" w:rsidP="000E557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14.92</w:t>
            </w:r>
          </w:p>
        </w:tc>
        <w:tc>
          <w:tcPr>
            <w:tcW w:w="773" w:type="pct"/>
            <w:noWrap/>
            <w:hideMark/>
          </w:tcPr>
          <w:p w:rsidR="007223FB" w:rsidRPr="002A71A7" w:rsidRDefault="007223FB" w:rsidP="000E557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2.3</w:t>
            </w:r>
          </w:p>
        </w:tc>
      </w:tr>
      <w:tr w:rsidR="007223FB" w:rsidRPr="002A71A7" w:rsidTr="000E557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9" w:type="pct"/>
            <w:noWrap/>
            <w:hideMark/>
          </w:tcPr>
          <w:p w:rsidR="007223FB" w:rsidRPr="002A71A7" w:rsidRDefault="007223FB" w:rsidP="000E557D">
            <w:pPr>
              <w:jc w:val="left"/>
              <w:rPr>
                <w:rFonts w:eastAsia="Times New Roman" w:cs="Times New Roman"/>
                <w:b w:val="0"/>
                <w:sz w:val="20"/>
                <w:szCs w:val="20"/>
              </w:rPr>
            </w:pPr>
            <w:r w:rsidRPr="002A71A7">
              <w:rPr>
                <w:rFonts w:eastAsia="Times New Roman" w:cs="Times New Roman"/>
                <w:b w:val="0"/>
                <w:sz w:val="20"/>
                <w:szCs w:val="20"/>
              </w:rPr>
              <w:t>Total general</w:t>
            </w:r>
          </w:p>
        </w:tc>
        <w:tc>
          <w:tcPr>
            <w:tcW w:w="722"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1615</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1,332.80</w:t>
            </w:r>
          </w:p>
        </w:tc>
        <w:tc>
          <w:tcPr>
            <w:tcW w:w="773" w:type="pct"/>
            <w:noWrap/>
            <w:hideMark/>
          </w:tcPr>
          <w:p w:rsidR="007223FB" w:rsidRPr="002A71A7" w:rsidRDefault="007223FB" w:rsidP="000E557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533.58</w:t>
            </w:r>
          </w:p>
        </w:tc>
        <w:tc>
          <w:tcPr>
            <w:tcW w:w="773" w:type="pct"/>
            <w:noWrap/>
            <w:hideMark/>
          </w:tcPr>
          <w:p w:rsidR="007223FB" w:rsidRPr="002A71A7" w:rsidRDefault="007223FB" w:rsidP="000E557D">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2A71A7">
              <w:rPr>
                <w:rFonts w:eastAsia="Times New Roman" w:cs="Times New Roman"/>
                <w:sz w:val="20"/>
                <w:szCs w:val="20"/>
              </w:rPr>
              <w:t>100.0</w:t>
            </w:r>
          </w:p>
        </w:tc>
      </w:tr>
    </w:tbl>
    <w:p w:rsidR="007223FB" w:rsidRPr="007223FB" w:rsidRDefault="007223FB" w:rsidP="007223FB">
      <w:pPr>
        <w:jc w:val="left"/>
        <w:rPr>
          <w:rFonts w:cs="Times New Roman"/>
        </w:rPr>
      </w:pPr>
      <w:r w:rsidRPr="007223FB">
        <w:rPr>
          <w:rFonts w:cs="Times New Roman"/>
          <w:b/>
        </w:rPr>
        <w:t>Fuente:</w:t>
      </w:r>
      <w:r w:rsidR="00615BA2">
        <w:rPr>
          <w:rFonts w:cs="Times New Roman"/>
        </w:rPr>
        <w:t xml:space="preserve"> elaboración SEGEPLAN</w:t>
      </w:r>
      <w:r w:rsidRPr="007223FB">
        <w:rPr>
          <w:rFonts w:cs="Times New Roman"/>
        </w:rPr>
        <w:t xml:space="preserve"> con base en datos del Sistema Nacional de Inversión Pública (SNIP) de fecha </w:t>
      </w:r>
      <w:r w:rsidR="00615BA2" w:rsidRPr="007223FB">
        <w:rPr>
          <w:rFonts w:cs="Times New Roman"/>
        </w:rPr>
        <w:t>al 2.09.2019</w:t>
      </w:r>
    </w:p>
    <w:p w:rsidR="007223FB" w:rsidRPr="007223FB" w:rsidRDefault="007223FB" w:rsidP="002A71A7">
      <w:pPr>
        <w:pStyle w:val="Default"/>
        <w:spacing w:before="120" w:after="120"/>
        <w:jc w:val="both"/>
        <w:rPr>
          <w:rFonts w:ascii="Candara" w:hAnsi="Candara" w:cs="Times New Roman"/>
          <w:sz w:val="22"/>
          <w:szCs w:val="22"/>
        </w:rPr>
      </w:pPr>
    </w:p>
    <w:p w:rsidR="00765ACE" w:rsidRDefault="00765ACE">
      <w:pPr>
        <w:jc w:val="left"/>
        <w:rPr>
          <w:rFonts w:eastAsia="Times New Roman" w:cstheme="majorBidi"/>
          <w:b/>
          <w:color w:val="000000" w:themeColor="text1"/>
          <w:sz w:val="24"/>
          <w:szCs w:val="32"/>
          <w:lang w:val="es-ES" w:eastAsia="es-ES"/>
        </w:rPr>
      </w:pPr>
      <w:r>
        <w:rPr>
          <w:rFonts w:eastAsia="Times New Roman"/>
          <w:i/>
          <w:lang w:val="es-ES" w:eastAsia="es-ES"/>
        </w:rPr>
        <w:br w:type="page"/>
      </w:r>
    </w:p>
    <w:p w:rsidR="00080194" w:rsidRPr="006F723D" w:rsidRDefault="00CB1737" w:rsidP="006F723D">
      <w:pPr>
        <w:pStyle w:val="Ttulo1"/>
        <w:shd w:val="clear" w:color="auto" w:fill="BDD6EE" w:themeFill="accent1" w:themeFillTint="66"/>
        <w:rPr>
          <w:rFonts w:eastAsia="Times New Roman"/>
          <w:i w:val="0"/>
          <w:lang w:val="es-ES" w:eastAsia="es-ES"/>
        </w:rPr>
      </w:pPr>
      <w:bookmarkStart w:id="66" w:name="_Toc19527444"/>
      <w:r w:rsidRPr="006F723D">
        <w:rPr>
          <w:rFonts w:eastAsia="Times New Roman"/>
          <w:i w:val="0"/>
          <w:lang w:val="es-ES" w:eastAsia="es-ES"/>
        </w:rPr>
        <w:lastRenderedPageBreak/>
        <w:t>Cooperación</w:t>
      </w:r>
      <w:r w:rsidR="00080194" w:rsidRPr="006F723D">
        <w:rPr>
          <w:rFonts w:eastAsia="Times New Roman"/>
          <w:i w:val="0"/>
          <w:lang w:val="es-ES" w:eastAsia="es-ES"/>
        </w:rPr>
        <w:t xml:space="preserve"> Internacional no reembolsable al cierre del II Cuatrimestre</w:t>
      </w:r>
      <w:bookmarkEnd w:id="66"/>
    </w:p>
    <w:p w:rsidR="00821719" w:rsidRPr="007223FB" w:rsidRDefault="00821719" w:rsidP="00475FEA">
      <w:pPr>
        <w:spacing w:before="120" w:after="120" w:line="240" w:lineRule="auto"/>
        <w:rPr>
          <w:lang w:val="es-ES"/>
        </w:rPr>
      </w:pPr>
      <w:bookmarkStart w:id="67" w:name="_Toc17812378"/>
      <w:bookmarkStart w:id="68" w:name="_Toc17877697"/>
      <w:bookmarkStart w:id="69" w:name="_Toc17878275"/>
      <w:bookmarkStart w:id="70" w:name="_Toc17878411"/>
      <w:bookmarkStart w:id="71" w:name="_Toc17878462"/>
      <w:bookmarkStart w:id="72" w:name="_Toc17882702"/>
      <w:bookmarkStart w:id="73" w:name="_Toc19519203"/>
      <w:bookmarkEnd w:id="67"/>
      <w:bookmarkEnd w:id="68"/>
      <w:bookmarkEnd w:id="69"/>
      <w:bookmarkEnd w:id="70"/>
      <w:bookmarkEnd w:id="71"/>
      <w:bookmarkEnd w:id="72"/>
      <w:bookmarkEnd w:id="73"/>
      <w:r w:rsidRPr="007223FB">
        <w:rPr>
          <w:lang w:val="es-ES"/>
        </w:rPr>
        <w:t>La Secretaría de Planificación y Programación de la Presidencia -SEGEPLAN- en cumplimiento al artículo 64 de la Ley del Presupuesto General de Ingresos y Egresos del Estado para el Ejercicio Fiscal dos mil diecinueve, Decreto 25-2018, pone a disposición el presente informe sobre la ejecución del 01 de enero al 31 de agosto de 2019, el cual incluye el análisis e interpretación de la distribución y ejecución del presupuesto de donaciones corrientes previstas para el presente ejercicio fiscal.</w:t>
      </w:r>
    </w:p>
    <w:p w:rsidR="00821719" w:rsidRPr="007223FB" w:rsidRDefault="00821719" w:rsidP="00475FEA">
      <w:pPr>
        <w:spacing w:before="120" w:after="120" w:line="240" w:lineRule="auto"/>
        <w:rPr>
          <w:lang w:val="es-ES"/>
        </w:rPr>
      </w:pPr>
      <w:r w:rsidRPr="007223FB">
        <w:rPr>
          <w:lang w:val="es-ES"/>
        </w:rPr>
        <w:t>La asignación presupuestaria aprobada para las donaciones externas para el año 2019 correspondiente a instituciones de gobierno central es de Q.254.48 millones y Q.131.26 millones para entidades descentralizadas, para un total de Q.385.74 millones. Al cierre del mes de agosto, las modificaciones a dicho presupuesto lo aumentan para el Gobierno Central con Q. 14.15  millones, y Q. 6.26 millones para las entidades descentralizadas.  Estas modificaciones dejan un presupuesto vigente de Q. 268.63 millones para gobierno central y de Q. 137.52 millones para entidades descentralizadas.</w:t>
      </w:r>
    </w:p>
    <w:p w:rsidR="00BE4333" w:rsidRPr="007223FB" w:rsidRDefault="00821719" w:rsidP="00475FEA">
      <w:pPr>
        <w:spacing w:before="120" w:after="120" w:line="240" w:lineRule="auto"/>
        <w:rPr>
          <w:lang w:val="es-ES"/>
        </w:rPr>
      </w:pPr>
      <w:r w:rsidRPr="007223FB">
        <w:rPr>
          <w:lang w:val="es-ES"/>
        </w:rPr>
        <w:t>La ejecución acumulada al 31 de agosto del presente año asciende a Q. 84.24 millones, equivalentes a un 20.74 % promedio respecto al presupuesto vigente (Gobierno Central y Descentralizadas).  La ejecución acumulada de las instituciones de gobierno central asciende a Q.49.51 millones equivalentes a un 18.43% de su presupuesto vigente.  Asimismo, el presupuesto para entidades descentralizadas reporta una ejecución acumulada al 31 de agosto de 2019 de Q.34.73 millones, equivalentes a un 25.28% de su presupuesto vigente.</w:t>
      </w:r>
    </w:p>
    <w:p w:rsidR="009A7C91" w:rsidRPr="007223FB" w:rsidRDefault="009A7C91" w:rsidP="000B07D9">
      <w:pPr>
        <w:pStyle w:val="Ttulo2"/>
        <w:numPr>
          <w:ilvl w:val="1"/>
          <w:numId w:val="8"/>
        </w:numPr>
        <w:spacing w:before="120" w:after="120" w:line="240" w:lineRule="auto"/>
        <w:rPr>
          <w:szCs w:val="22"/>
          <w:lang w:val="es-ES"/>
        </w:rPr>
      </w:pPr>
      <w:bookmarkStart w:id="74" w:name="_Toc19527445"/>
      <w:r w:rsidRPr="007223FB">
        <w:rPr>
          <w:szCs w:val="22"/>
          <w:lang w:val="es-ES"/>
        </w:rPr>
        <w:t>Distribución del presupuesto de donaciones</w:t>
      </w:r>
      <w:bookmarkEnd w:id="74"/>
    </w:p>
    <w:p w:rsidR="00821719" w:rsidRPr="007223FB" w:rsidRDefault="00821719" w:rsidP="00475FEA">
      <w:pPr>
        <w:spacing w:before="120" w:after="120" w:line="240" w:lineRule="auto"/>
        <w:rPr>
          <w:i/>
          <w:iCs/>
        </w:rPr>
      </w:pPr>
      <w:r w:rsidRPr="007223FB">
        <w:rPr>
          <w:i/>
          <w:iCs/>
        </w:rPr>
        <w:t xml:space="preserve">La asignación global para la fuente 61 “Donaciones Externas” asciende a </w:t>
      </w:r>
      <w:r w:rsidRPr="007223FB">
        <w:rPr>
          <w:b/>
          <w:i/>
          <w:iCs/>
        </w:rPr>
        <w:t>Q.385.74</w:t>
      </w:r>
      <w:r w:rsidRPr="007223FB">
        <w:rPr>
          <w:i/>
          <w:iCs/>
        </w:rPr>
        <w:t xml:space="preserve"> millones.  Al </w:t>
      </w:r>
      <w:r w:rsidRPr="007223FB">
        <w:rPr>
          <w:b/>
          <w:i/>
          <w:iCs/>
        </w:rPr>
        <w:t>31 de agosto de 2019,</w:t>
      </w:r>
      <w:r w:rsidRPr="007223FB">
        <w:rPr>
          <w:i/>
          <w:iCs/>
        </w:rPr>
        <w:t xml:space="preserve"> se han realizado modificaciones presupuestarias por </w:t>
      </w:r>
      <w:r w:rsidRPr="007223FB">
        <w:rPr>
          <w:b/>
          <w:i/>
          <w:iCs/>
        </w:rPr>
        <w:t xml:space="preserve">Q.20.41 </w:t>
      </w:r>
      <w:r w:rsidRPr="007223FB">
        <w:rPr>
          <w:i/>
          <w:iCs/>
        </w:rPr>
        <w:t xml:space="preserve">millones para contar con un presupuesto vigente de </w:t>
      </w:r>
      <w:r w:rsidRPr="007223FB">
        <w:rPr>
          <w:b/>
          <w:i/>
          <w:iCs/>
        </w:rPr>
        <w:t xml:space="preserve">Q. 406.15 </w:t>
      </w:r>
      <w:r w:rsidRPr="007223FB">
        <w:rPr>
          <w:i/>
          <w:iCs/>
        </w:rPr>
        <w:t xml:space="preserve">millones y ejecución acumulada promedio de </w:t>
      </w:r>
      <w:r w:rsidRPr="007223FB">
        <w:rPr>
          <w:b/>
          <w:i/>
          <w:iCs/>
        </w:rPr>
        <w:t>20.74%</w:t>
      </w:r>
      <w:r w:rsidRPr="007223FB">
        <w:rPr>
          <w:i/>
          <w:iCs/>
        </w:rPr>
        <w:t xml:space="preserve">, como se observa en el siguiente cuadro: </w:t>
      </w:r>
    </w:p>
    <w:p w:rsidR="00821719" w:rsidRPr="00A17383" w:rsidRDefault="00CB1737" w:rsidP="00A17383">
      <w:pPr>
        <w:pStyle w:val="Ttulo4"/>
        <w:numPr>
          <w:ilvl w:val="0"/>
          <w:numId w:val="0"/>
        </w:numPr>
        <w:ind w:left="864"/>
        <w:rPr>
          <w:rFonts w:ascii="Candara" w:hAnsi="Candara"/>
          <w:b/>
          <w:color w:val="auto"/>
          <w:sz w:val="18"/>
        </w:rPr>
      </w:pPr>
      <w:bookmarkStart w:id="75" w:name="_Toc19524694"/>
      <w:r w:rsidRPr="00A17383">
        <w:rPr>
          <w:rFonts w:ascii="Candara" w:hAnsi="Candara"/>
          <w:b/>
          <w:color w:val="auto"/>
          <w:sz w:val="18"/>
        </w:rPr>
        <w:t>Cuadro No.</w:t>
      </w:r>
      <w:r w:rsidR="00821719" w:rsidRPr="00A17383">
        <w:rPr>
          <w:rFonts w:ascii="Candara" w:hAnsi="Candara"/>
          <w:b/>
          <w:color w:val="auto"/>
          <w:sz w:val="18"/>
        </w:rPr>
        <w:t xml:space="preserve"> </w:t>
      </w:r>
      <w:r w:rsidR="009B30CD">
        <w:rPr>
          <w:rFonts w:ascii="Candara" w:hAnsi="Candara"/>
          <w:b/>
          <w:color w:val="auto"/>
          <w:sz w:val="18"/>
        </w:rPr>
        <w:t>8</w:t>
      </w:r>
      <w:r w:rsidR="00A17383">
        <w:rPr>
          <w:rFonts w:ascii="Candara" w:hAnsi="Candara"/>
          <w:b/>
          <w:color w:val="auto"/>
          <w:sz w:val="18"/>
        </w:rPr>
        <w:br/>
      </w:r>
      <w:r w:rsidR="00821719" w:rsidRPr="00A17383">
        <w:rPr>
          <w:rFonts w:ascii="Candara" w:hAnsi="Candara"/>
          <w:b/>
          <w:color w:val="auto"/>
          <w:sz w:val="18"/>
        </w:rPr>
        <w:t>Presupuesto Asignado - Vigente - Ejecución Enero - Agosto 2019</w:t>
      </w:r>
      <w:r w:rsidR="00A17383">
        <w:rPr>
          <w:rFonts w:ascii="Candara" w:hAnsi="Candara"/>
          <w:b/>
          <w:color w:val="auto"/>
          <w:sz w:val="18"/>
        </w:rPr>
        <w:br/>
      </w:r>
      <w:r w:rsidR="00821719" w:rsidRPr="00A17383">
        <w:rPr>
          <w:rFonts w:ascii="Candara" w:hAnsi="Candara"/>
          <w:b/>
          <w:color w:val="auto"/>
          <w:sz w:val="18"/>
        </w:rPr>
        <w:t>(Cifras expresadas en millones de Quetzales)</w:t>
      </w:r>
      <w:bookmarkEnd w:id="75"/>
    </w:p>
    <w:tbl>
      <w:tblPr>
        <w:tblW w:w="8540" w:type="dxa"/>
        <w:jc w:val="center"/>
        <w:tblCellMar>
          <w:left w:w="70" w:type="dxa"/>
          <w:right w:w="70" w:type="dxa"/>
        </w:tblCellMar>
        <w:tblLook w:val="04A0" w:firstRow="1" w:lastRow="0" w:firstColumn="1" w:lastColumn="0" w:noHBand="0" w:noVBand="1"/>
      </w:tblPr>
      <w:tblGrid>
        <w:gridCol w:w="2660"/>
        <w:gridCol w:w="1960"/>
        <w:gridCol w:w="1060"/>
        <w:gridCol w:w="1720"/>
        <w:gridCol w:w="1140"/>
      </w:tblGrid>
      <w:tr w:rsidR="00821719" w:rsidRPr="007223FB" w:rsidTr="00B41834">
        <w:trPr>
          <w:trHeight w:val="510"/>
          <w:jc w:val="center"/>
        </w:trPr>
        <w:tc>
          <w:tcPr>
            <w:tcW w:w="266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821719">
            <w:pPr>
              <w:spacing w:after="0" w:line="240" w:lineRule="auto"/>
              <w:jc w:val="center"/>
              <w:rPr>
                <w:rFonts w:eastAsia="Times New Roman" w:cs="Times New Roman"/>
                <w:b/>
                <w:bCs/>
                <w:iCs/>
              </w:rPr>
            </w:pPr>
            <w:r w:rsidRPr="007223FB">
              <w:rPr>
                <w:rFonts w:eastAsia="Times New Roman" w:cs="Times New Roman"/>
                <w:b/>
                <w:bCs/>
                <w:iCs/>
              </w:rPr>
              <w:t xml:space="preserve">Tipo de Institución </w:t>
            </w:r>
          </w:p>
        </w:tc>
        <w:tc>
          <w:tcPr>
            <w:tcW w:w="196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821719">
            <w:pPr>
              <w:spacing w:after="0" w:line="240" w:lineRule="auto"/>
              <w:jc w:val="center"/>
              <w:rPr>
                <w:rFonts w:eastAsia="Times New Roman" w:cs="Times New Roman"/>
                <w:b/>
                <w:bCs/>
                <w:iCs/>
              </w:rPr>
            </w:pPr>
            <w:r w:rsidRPr="007223FB">
              <w:rPr>
                <w:rFonts w:eastAsia="Times New Roman" w:cs="Times New Roman"/>
                <w:b/>
                <w:bCs/>
                <w:iCs/>
              </w:rPr>
              <w:t xml:space="preserve"> Asignado    </w:t>
            </w:r>
          </w:p>
        </w:tc>
        <w:tc>
          <w:tcPr>
            <w:tcW w:w="106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821719">
            <w:pPr>
              <w:spacing w:after="0" w:line="240" w:lineRule="auto"/>
              <w:jc w:val="center"/>
              <w:rPr>
                <w:rFonts w:eastAsia="Times New Roman" w:cs="Times New Roman"/>
                <w:b/>
                <w:bCs/>
                <w:iCs/>
              </w:rPr>
            </w:pPr>
            <w:r w:rsidRPr="007223FB">
              <w:rPr>
                <w:rFonts w:eastAsia="Times New Roman" w:cs="Times New Roman"/>
                <w:b/>
                <w:bCs/>
                <w:iCs/>
              </w:rPr>
              <w:t xml:space="preserve"> Vigente   </w:t>
            </w:r>
          </w:p>
        </w:tc>
        <w:tc>
          <w:tcPr>
            <w:tcW w:w="17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821719">
            <w:pPr>
              <w:spacing w:after="0" w:line="240" w:lineRule="auto"/>
              <w:jc w:val="center"/>
              <w:rPr>
                <w:rFonts w:eastAsia="Times New Roman" w:cs="Times New Roman"/>
                <w:b/>
                <w:bCs/>
                <w:iCs/>
              </w:rPr>
            </w:pPr>
            <w:r w:rsidRPr="007223FB">
              <w:rPr>
                <w:rFonts w:eastAsia="Times New Roman" w:cs="Times New Roman"/>
                <w:b/>
                <w:bCs/>
                <w:iCs/>
              </w:rPr>
              <w:t xml:space="preserve"> Ejecución   </w:t>
            </w:r>
          </w:p>
        </w:tc>
        <w:tc>
          <w:tcPr>
            <w:tcW w:w="11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821719">
            <w:pPr>
              <w:spacing w:after="0" w:line="240" w:lineRule="auto"/>
              <w:jc w:val="center"/>
              <w:rPr>
                <w:rFonts w:eastAsia="Times New Roman" w:cs="Times New Roman"/>
                <w:b/>
                <w:bCs/>
                <w:iCs/>
              </w:rPr>
            </w:pPr>
            <w:r w:rsidRPr="007223FB">
              <w:rPr>
                <w:rFonts w:eastAsia="Times New Roman" w:cs="Times New Roman"/>
                <w:b/>
                <w:bCs/>
                <w:iCs/>
              </w:rPr>
              <w:t xml:space="preserve"> % de ejecución  </w:t>
            </w:r>
          </w:p>
        </w:tc>
      </w:tr>
      <w:tr w:rsidR="00821719" w:rsidRPr="007223FB" w:rsidTr="00B41834">
        <w:trPr>
          <w:trHeight w:val="255"/>
          <w:jc w:val="center"/>
        </w:trPr>
        <w:tc>
          <w:tcPr>
            <w:tcW w:w="2660" w:type="dxa"/>
            <w:tcBorders>
              <w:top w:val="single" w:sz="4" w:space="0" w:color="auto"/>
              <w:left w:val="single" w:sz="4" w:space="0" w:color="auto"/>
              <w:bottom w:val="dotted" w:sz="4" w:space="0" w:color="auto"/>
              <w:right w:val="dotted" w:sz="4" w:space="0" w:color="auto"/>
            </w:tcBorders>
            <w:shd w:val="clear" w:color="DAEEF3" w:fill="DAEEF3"/>
            <w:vAlign w:val="bottom"/>
            <w:hideMark/>
          </w:tcPr>
          <w:p w:rsidR="00821719" w:rsidRPr="007223FB" w:rsidRDefault="00821719" w:rsidP="00821719">
            <w:pPr>
              <w:spacing w:after="0" w:line="240" w:lineRule="auto"/>
              <w:rPr>
                <w:rFonts w:eastAsia="Times New Roman" w:cs="Times New Roman"/>
                <w:iCs/>
              </w:rPr>
            </w:pPr>
            <w:r w:rsidRPr="007223FB">
              <w:rPr>
                <w:rFonts w:eastAsia="Times New Roman" w:cs="Times New Roman"/>
                <w:iCs/>
              </w:rPr>
              <w:t xml:space="preserve">Gobierno Central </w:t>
            </w:r>
          </w:p>
        </w:tc>
        <w:tc>
          <w:tcPr>
            <w:tcW w:w="1960" w:type="dxa"/>
            <w:tcBorders>
              <w:top w:val="single" w:sz="4" w:space="0" w:color="auto"/>
              <w:left w:val="dotted" w:sz="4" w:space="0" w:color="auto"/>
              <w:bottom w:val="dotted" w:sz="4" w:space="0" w:color="auto"/>
              <w:right w:val="dotted" w:sz="4" w:space="0" w:color="auto"/>
            </w:tcBorders>
            <w:shd w:val="clear" w:color="DAEEF3" w:fill="DAEEF3"/>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254.48</w:t>
            </w:r>
          </w:p>
        </w:tc>
        <w:tc>
          <w:tcPr>
            <w:tcW w:w="1060" w:type="dxa"/>
            <w:tcBorders>
              <w:top w:val="single"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268.63</w:t>
            </w:r>
          </w:p>
        </w:tc>
        <w:tc>
          <w:tcPr>
            <w:tcW w:w="1720" w:type="dxa"/>
            <w:tcBorders>
              <w:top w:val="single"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49.51</w:t>
            </w:r>
          </w:p>
        </w:tc>
        <w:tc>
          <w:tcPr>
            <w:tcW w:w="1140" w:type="dxa"/>
            <w:tcBorders>
              <w:top w:val="single" w:sz="4" w:space="0" w:color="auto"/>
              <w:left w:val="dotted" w:sz="4" w:space="0" w:color="auto"/>
              <w:bottom w:val="dotted" w:sz="4" w:space="0" w:color="auto"/>
              <w:right w:val="single" w:sz="4" w:space="0" w:color="auto"/>
            </w:tcBorders>
            <w:shd w:val="clear" w:color="DAEEF3" w:fill="DAEEF3"/>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18.43%</w:t>
            </w:r>
          </w:p>
        </w:tc>
      </w:tr>
      <w:tr w:rsidR="00821719" w:rsidRPr="007223FB" w:rsidTr="00B41834">
        <w:trPr>
          <w:trHeight w:val="255"/>
          <w:jc w:val="center"/>
        </w:trPr>
        <w:tc>
          <w:tcPr>
            <w:tcW w:w="2660" w:type="dxa"/>
            <w:tcBorders>
              <w:top w:val="dotted" w:sz="4" w:space="0" w:color="auto"/>
              <w:left w:val="single" w:sz="4" w:space="0" w:color="auto"/>
              <w:bottom w:val="dotted" w:sz="4" w:space="0" w:color="auto"/>
              <w:right w:val="dotted" w:sz="4" w:space="0" w:color="auto"/>
            </w:tcBorders>
            <w:shd w:val="clear" w:color="B7DEE8" w:fill="B7DEE8"/>
            <w:vAlign w:val="bottom"/>
            <w:hideMark/>
          </w:tcPr>
          <w:p w:rsidR="00821719" w:rsidRPr="007223FB" w:rsidRDefault="00821719" w:rsidP="00821719">
            <w:pPr>
              <w:spacing w:after="0" w:line="240" w:lineRule="auto"/>
              <w:rPr>
                <w:rFonts w:eastAsia="Times New Roman" w:cs="Times New Roman"/>
                <w:iCs/>
              </w:rPr>
            </w:pPr>
            <w:r w:rsidRPr="007223FB">
              <w:rPr>
                <w:rFonts w:eastAsia="Times New Roman" w:cs="Times New Roman"/>
                <w:iCs/>
              </w:rPr>
              <w:t>Descentralizadas</w:t>
            </w:r>
          </w:p>
        </w:tc>
        <w:tc>
          <w:tcPr>
            <w:tcW w:w="1960" w:type="dxa"/>
            <w:tcBorders>
              <w:top w:val="nil"/>
              <w:left w:val="nil"/>
              <w:bottom w:val="dotted" w:sz="4" w:space="0" w:color="auto"/>
              <w:right w:val="dotted" w:sz="4" w:space="0" w:color="auto"/>
            </w:tcBorders>
            <w:shd w:val="clear" w:color="B7DEE8" w:fill="B7DEE8"/>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131.26</w:t>
            </w:r>
          </w:p>
        </w:tc>
        <w:tc>
          <w:tcPr>
            <w:tcW w:w="106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137.52</w:t>
            </w:r>
          </w:p>
        </w:tc>
        <w:tc>
          <w:tcPr>
            <w:tcW w:w="172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34.73</w:t>
            </w:r>
          </w:p>
        </w:tc>
        <w:tc>
          <w:tcPr>
            <w:tcW w:w="1140" w:type="dxa"/>
            <w:tcBorders>
              <w:top w:val="nil"/>
              <w:left w:val="nil"/>
              <w:bottom w:val="dotted" w:sz="4" w:space="0" w:color="auto"/>
              <w:right w:val="single" w:sz="4" w:space="0" w:color="auto"/>
            </w:tcBorders>
            <w:shd w:val="clear" w:color="B7DEE8" w:fill="B7DEE8"/>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25.25%</w:t>
            </w:r>
          </w:p>
        </w:tc>
      </w:tr>
      <w:tr w:rsidR="00821719" w:rsidRPr="007223FB" w:rsidTr="00B41834">
        <w:trPr>
          <w:trHeight w:val="255"/>
          <w:jc w:val="center"/>
        </w:trPr>
        <w:tc>
          <w:tcPr>
            <w:tcW w:w="2660" w:type="dxa"/>
            <w:tcBorders>
              <w:top w:val="dotted" w:sz="4" w:space="0" w:color="auto"/>
              <w:left w:val="single" w:sz="4" w:space="0" w:color="auto"/>
              <w:bottom w:val="single" w:sz="4" w:space="0" w:color="auto"/>
              <w:right w:val="dotted" w:sz="4" w:space="0" w:color="auto"/>
            </w:tcBorders>
            <w:shd w:val="clear" w:color="DAEEF3" w:fill="538DD5"/>
            <w:vAlign w:val="bottom"/>
            <w:hideMark/>
          </w:tcPr>
          <w:p w:rsidR="00821719" w:rsidRPr="007223FB" w:rsidRDefault="00821719" w:rsidP="00821719">
            <w:pPr>
              <w:spacing w:after="0" w:line="240" w:lineRule="auto"/>
              <w:rPr>
                <w:rFonts w:eastAsia="Times New Roman" w:cs="Times New Roman"/>
                <w:iCs/>
              </w:rPr>
            </w:pPr>
            <w:r w:rsidRPr="007223FB">
              <w:rPr>
                <w:rFonts w:eastAsia="Times New Roman" w:cs="Times New Roman"/>
                <w:iCs/>
              </w:rPr>
              <w:t>Total</w:t>
            </w:r>
          </w:p>
        </w:tc>
        <w:tc>
          <w:tcPr>
            <w:tcW w:w="1960" w:type="dxa"/>
            <w:tcBorders>
              <w:top w:val="nil"/>
              <w:left w:val="nil"/>
              <w:bottom w:val="single" w:sz="4" w:space="0" w:color="auto"/>
              <w:right w:val="dotted" w:sz="4" w:space="0" w:color="auto"/>
            </w:tcBorders>
            <w:shd w:val="clear" w:color="DAEEF3" w:fill="538DD5"/>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385.74</w:t>
            </w:r>
          </w:p>
        </w:tc>
        <w:tc>
          <w:tcPr>
            <w:tcW w:w="1060" w:type="dxa"/>
            <w:tcBorders>
              <w:top w:val="dotted" w:sz="4" w:space="0" w:color="auto"/>
              <w:left w:val="dotted" w:sz="4" w:space="0" w:color="auto"/>
              <w:bottom w:val="single" w:sz="4" w:space="0" w:color="auto"/>
              <w:right w:val="dotted" w:sz="4" w:space="0" w:color="auto"/>
            </w:tcBorders>
            <w:shd w:val="clear" w:color="DAEEF3" w:fill="538DD5"/>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406.15</w:t>
            </w:r>
          </w:p>
        </w:tc>
        <w:tc>
          <w:tcPr>
            <w:tcW w:w="1720" w:type="dxa"/>
            <w:tcBorders>
              <w:top w:val="dotted" w:sz="4" w:space="0" w:color="auto"/>
              <w:left w:val="dotted" w:sz="4" w:space="0" w:color="auto"/>
              <w:bottom w:val="single" w:sz="4" w:space="0" w:color="auto"/>
              <w:right w:val="dotted" w:sz="4" w:space="0" w:color="auto"/>
            </w:tcBorders>
            <w:shd w:val="clear" w:color="DAEEF3" w:fill="538DD5"/>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84.24</w:t>
            </w:r>
          </w:p>
        </w:tc>
        <w:tc>
          <w:tcPr>
            <w:tcW w:w="1140" w:type="dxa"/>
            <w:tcBorders>
              <w:top w:val="nil"/>
              <w:left w:val="nil"/>
              <w:bottom w:val="single" w:sz="4" w:space="0" w:color="auto"/>
              <w:right w:val="single" w:sz="4" w:space="0" w:color="auto"/>
            </w:tcBorders>
            <w:shd w:val="clear" w:color="DAEEF3" w:fill="538DD5"/>
            <w:noWrap/>
            <w:vAlign w:val="bottom"/>
            <w:hideMark/>
          </w:tcPr>
          <w:p w:rsidR="00821719" w:rsidRPr="007223FB" w:rsidRDefault="00821719" w:rsidP="00B41834">
            <w:pPr>
              <w:spacing w:after="0" w:line="240" w:lineRule="auto"/>
              <w:jc w:val="center"/>
              <w:rPr>
                <w:rFonts w:eastAsia="Times New Roman" w:cs="Times New Roman"/>
                <w:iCs/>
              </w:rPr>
            </w:pPr>
            <w:r w:rsidRPr="007223FB">
              <w:rPr>
                <w:rFonts w:eastAsia="Times New Roman" w:cs="Times New Roman"/>
                <w:iCs/>
              </w:rPr>
              <w:t>20.74%</w:t>
            </w:r>
          </w:p>
        </w:tc>
      </w:tr>
    </w:tbl>
    <w:p w:rsidR="00821719" w:rsidRPr="007223FB" w:rsidRDefault="00821719" w:rsidP="00B41834">
      <w:pPr>
        <w:spacing w:after="0" w:line="240" w:lineRule="auto"/>
        <w:rPr>
          <w:iCs/>
        </w:rPr>
      </w:pPr>
      <w:r w:rsidRPr="007223FB">
        <w:rPr>
          <w:bCs/>
          <w:iCs/>
        </w:rPr>
        <w:t>Fuente: Elaboración propia SEGEPLAN con base a datos del Sistema de Contabilidad integrada -SICOIN- Ejercicio Fiscal 2019.</w:t>
      </w:r>
    </w:p>
    <w:p w:rsidR="00821719" w:rsidRPr="007223FB" w:rsidRDefault="00821719" w:rsidP="00B41834">
      <w:pPr>
        <w:jc w:val="left"/>
        <w:rPr>
          <w:iCs/>
        </w:rPr>
      </w:pPr>
      <w:r w:rsidRPr="007223FB">
        <w:rPr>
          <w:iCs/>
        </w:rPr>
        <w:br w:type="page"/>
      </w:r>
    </w:p>
    <w:p w:rsidR="00821719" w:rsidRPr="009C0082" w:rsidRDefault="00821719" w:rsidP="00821719">
      <w:pPr>
        <w:rPr>
          <w:iCs/>
          <w:lang w:eastAsia="es-GT"/>
        </w:rPr>
      </w:pPr>
      <w:r w:rsidRPr="009C0082">
        <w:rPr>
          <w:iCs/>
          <w:lang w:eastAsia="es-GT"/>
        </w:rPr>
        <w:lastRenderedPageBreak/>
        <w:t xml:space="preserve">En la siguiente gráfica, se puede observar el comportamiento de los presupuestos para administración central e instituciones descentralizadas: </w:t>
      </w:r>
    </w:p>
    <w:p w:rsidR="00821719" w:rsidRPr="00765ACE" w:rsidRDefault="00821719" w:rsidP="00765ACE">
      <w:pPr>
        <w:pStyle w:val="Ttulo5"/>
        <w:numPr>
          <w:ilvl w:val="0"/>
          <w:numId w:val="0"/>
        </w:numPr>
        <w:ind w:left="1008"/>
        <w:rPr>
          <w:rFonts w:ascii="Candara" w:hAnsi="Candara"/>
          <w:b/>
          <w:color w:val="auto"/>
          <w:sz w:val="18"/>
        </w:rPr>
      </w:pPr>
      <w:bookmarkStart w:id="76" w:name="_Toc19527386"/>
      <w:r w:rsidRPr="00765ACE">
        <w:rPr>
          <w:rFonts w:ascii="Candara" w:hAnsi="Candara"/>
          <w:b/>
          <w:color w:val="auto"/>
          <w:sz w:val="18"/>
        </w:rPr>
        <w:t xml:space="preserve">Gráfica </w:t>
      </w:r>
      <w:r w:rsidR="00765ACE">
        <w:rPr>
          <w:rFonts w:ascii="Candara" w:hAnsi="Candara"/>
          <w:b/>
          <w:color w:val="auto"/>
          <w:sz w:val="18"/>
        </w:rPr>
        <w:t>3</w:t>
      </w:r>
      <w:r w:rsidR="00765ACE">
        <w:rPr>
          <w:rFonts w:ascii="Candara" w:hAnsi="Candara"/>
          <w:b/>
          <w:color w:val="auto"/>
          <w:sz w:val="18"/>
        </w:rPr>
        <w:br/>
      </w:r>
      <w:r w:rsidRPr="00765ACE">
        <w:rPr>
          <w:rFonts w:ascii="Candara" w:hAnsi="Candara"/>
          <w:b/>
          <w:color w:val="auto"/>
          <w:sz w:val="18"/>
        </w:rPr>
        <w:t>Presupuesto de donaciones Enero - Agosto 2019</w:t>
      </w:r>
      <w:r w:rsidR="00765ACE">
        <w:rPr>
          <w:rFonts w:ascii="Candara" w:hAnsi="Candara"/>
          <w:b/>
          <w:color w:val="auto"/>
          <w:sz w:val="18"/>
        </w:rPr>
        <w:br/>
      </w:r>
      <w:r w:rsidRPr="00765ACE">
        <w:rPr>
          <w:rFonts w:ascii="Candara" w:hAnsi="Candara"/>
          <w:b/>
          <w:color w:val="auto"/>
          <w:sz w:val="18"/>
        </w:rPr>
        <w:t xml:space="preserve">Asignado - Vigente </w:t>
      </w:r>
      <w:r w:rsidR="00765ACE">
        <w:rPr>
          <w:rFonts w:ascii="Candara" w:hAnsi="Candara"/>
          <w:b/>
          <w:color w:val="auto"/>
          <w:sz w:val="18"/>
        </w:rPr>
        <w:t>–</w:t>
      </w:r>
      <w:r w:rsidRPr="00765ACE">
        <w:rPr>
          <w:rFonts w:ascii="Candara" w:hAnsi="Candara"/>
          <w:b/>
          <w:color w:val="auto"/>
          <w:sz w:val="18"/>
        </w:rPr>
        <w:t xml:space="preserve"> Ejecutado</w:t>
      </w:r>
      <w:r w:rsidR="00765ACE">
        <w:rPr>
          <w:rFonts w:ascii="Candara" w:hAnsi="Candara"/>
          <w:b/>
          <w:color w:val="auto"/>
          <w:sz w:val="18"/>
        </w:rPr>
        <w:br/>
      </w:r>
      <w:r w:rsidRPr="00765ACE">
        <w:rPr>
          <w:rFonts w:ascii="Candara" w:hAnsi="Candara"/>
          <w:b/>
          <w:color w:val="auto"/>
          <w:sz w:val="18"/>
        </w:rPr>
        <w:t>(Expresado en Millones de Quetzales)</w:t>
      </w:r>
      <w:bookmarkEnd w:id="76"/>
    </w:p>
    <w:p w:rsidR="00821719" w:rsidRPr="007223FB" w:rsidRDefault="00821719" w:rsidP="00821719">
      <w:pPr>
        <w:rPr>
          <w:b/>
          <w:bCs/>
          <w:i/>
          <w:iCs/>
          <w:lang w:eastAsia="es-GT"/>
        </w:rPr>
      </w:pPr>
      <w:r w:rsidRPr="007223FB">
        <w:rPr>
          <w:noProof/>
          <w:lang w:eastAsia="es-GT"/>
        </w:rPr>
        <w:drawing>
          <wp:inline distT="0" distB="0" distL="0" distR="0" wp14:anchorId="72F7121D" wp14:editId="0B7EDEEB">
            <wp:extent cx="5941060" cy="3260725"/>
            <wp:effectExtent l="0" t="0" r="2540" b="15875"/>
            <wp:docPr id="17" name="Gráfico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21719" w:rsidRPr="007223FB" w:rsidRDefault="00821719" w:rsidP="00821719">
      <w:pPr>
        <w:rPr>
          <w:iCs/>
          <w:lang w:eastAsia="es-GT"/>
        </w:rPr>
      </w:pPr>
      <w:r w:rsidRPr="007223FB">
        <w:rPr>
          <w:bCs/>
          <w:iCs/>
          <w:lang w:eastAsia="es-GT"/>
        </w:rPr>
        <w:t>Fuente: Elaboración propia SEGEPLAN con base a datos del Sistema de Contabilidad Integrada –SICOIN y SICOINDES- Ejercicio Fiscal 2019</w:t>
      </w:r>
      <w:r w:rsidRPr="007223FB">
        <w:rPr>
          <w:iCs/>
          <w:lang w:eastAsia="es-GT"/>
        </w:rPr>
        <w:t xml:space="preserve">. </w:t>
      </w:r>
    </w:p>
    <w:p w:rsidR="00821719" w:rsidRPr="007223FB" w:rsidRDefault="00821719" w:rsidP="00821719">
      <w:pPr>
        <w:rPr>
          <w:iCs/>
          <w:lang w:eastAsia="es-GT"/>
        </w:rPr>
      </w:pPr>
      <w:r w:rsidRPr="007223FB">
        <w:rPr>
          <w:iCs/>
          <w:lang w:eastAsia="es-GT"/>
        </w:rPr>
        <w:t xml:space="preserve">Como se puede observar, la ejecución acumulada al </w:t>
      </w:r>
      <w:r w:rsidRPr="007223FB">
        <w:rPr>
          <w:b/>
          <w:iCs/>
          <w:lang w:eastAsia="es-GT"/>
        </w:rPr>
        <w:t>31</w:t>
      </w:r>
      <w:r w:rsidRPr="007223FB">
        <w:rPr>
          <w:iCs/>
          <w:lang w:eastAsia="es-GT"/>
        </w:rPr>
        <w:t xml:space="preserve"> </w:t>
      </w:r>
      <w:r w:rsidRPr="007223FB">
        <w:rPr>
          <w:b/>
          <w:iCs/>
          <w:lang w:eastAsia="es-GT"/>
        </w:rPr>
        <w:t xml:space="preserve">de agosto de 2019 </w:t>
      </w:r>
      <w:r w:rsidRPr="007223FB">
        <w:rPr>
          <w:iCs/>
          <w:lang w:eastAsia="es-GT"/>
        </w:rPr>
        <w:t xml:space="preserve">para cada una de las asignaciones presupuestarias alcanza el </w:t>
      </w:r>
      <w:r w:rsidRPr="007223FB">
        <w:rPr>
          <w:b/>
          <w:iCs/>
          <w:lang w:eastAsia="es-GT"/>
        </w:rPr>
        <w:t>18.43%</w:t>
      </w:r>
      <w:r w:rsidRPr="007223FB">
        <w:rPr>
          <w:iCs/>
          <w:lang w:eastAsia="es-GT"/>
        </w:rPr>
        <w:t xml:space="preserve"> para el Gobierno Central, y el </w:t>
      </w:r>
      <w:r w:rsidRPr="007223FB">
        <w:rPr>
          <w:b/>
          <w:iCs/>
          <w:lang w:eastAsia="es-GT"/>
        </w:rPr>
        <w:t xml:space="preserve">25.25% </w:t>
      </w:r>
      <w:r w:rsidRPr="007223FB">
        <w:rPr>
          <w:iCs/>
          <w:lang w:eastAsia="es-GT"/>
        </w:rPr>
        <w:t xml:space="preserve">para entidades descentralizadas, para hacer un promedio ponderado entre ambas de </w:t>
      </w:r>
      <w:r w:rsidRPr="007223FB">
        <w:rPr>
          <w:b/>
          <w:iCs/>
          <w:lang w:eastAsia="es-GT"/>
        </w:rPr>
        <w:t>20.74%</w:t>
      </w:r>
      <w:r w:rsidRPr="007223FB">
        <w:rPr>
          <w:iCs/>
          <w:lang w:eastAsia="es-GT"/>
        </w:rPr>
        <w:t xml:space="preserve">, con un monto absoluto de </w:t>
      </w:r>
      <w:r w:rsidRPr="007223FB">
        <w:rPr>
          <w:b/>
          <w:iCs/>
          <w:lang w:eastAsia="es-GT"/>
        </w:rPr>
        <w:t>Q. 84.24</w:t>
      </w:r>
      <w:r w:rsidRPr="007223FB">
        <w:rPr>
          <w:iCs/>
          <w:lang w:eastAsia="es-GT"/>
        </w:rPr>
        <w:t xml:space="preserve"> millones, incluido el monto de transferencias para Obligaciones del Estado</w:t>
      </w:r>
      <w:r w:rsidRPr="007223FB">
        <w:rPr>
          <w:i/>
          <w:iCs/>
          <w:lang w:eastAsia="es-GT"/>
        </w:rPr>
        <w:t>.</w:t>
      </w:r>
    </w:p>
    <w:p w:rsidR="009A7C91" w:rsidRPr="007223FB" w:rsidRDefault="009A7C91" w:rsidP="000B07D9">
      <w:pPr>
        <w:pStyle w:val="Ttulo2"/>
        <w:numPr>
          <w:ilvl w:val="1"/>
          <w:numId w:val="8"/>
        </w:numPr>
        <w:spacing w:before="120" w:after="120" w:line="240" w:lineRule="auto"/>
        <w:rPr>
          <w:szCs w:val="22"/>
          <w:lang w:val="es-ES"/>
        </w:rPr>
      </w:pPr>
      <w:bookmarkStart w:id="77" w:name="_Toc19527446"/>
      <w:r w:rsidRPr="007223FB">
        <w:rPr>
          <w:szCs w:val="22"/>
          <w:lang w:val="es-ES"/>
        </w:rPr>
        <w:t>Ejecución de la Administración Central</w:t>
      </w:r>
      <w:bookmarkEnd w:id="77"/>
    </w:p>
    <w:p w:rsidR="00821719" w:rsidRPr="007223FB" w:rsidRDefault="00821719" w:rsidP="00475FEA">
      <w:pPr>
        <w:rPr>
          <w:i/>
          <w:iCs/>
        </w:rPr>
      </w:pPr>
      <w:r w:rsidRPr="007223FB">
        <w:rPr>
          <w:iCs/>
        </w:rPr>
        <w:t xml:space="preserve">La ejecución total acumulada del presupuesto de donaciones asignado a las instituciones de gobierno central al </w:t>
      </w:r>
      <w:r w:rsidRPr="007223FB">
        <w:rPr>
          <w:b/>
          <w:iCs/>
        </w:rPr>
        <w:t>31 de agosto de 2019</w:t>
      </w:r>
      <w:r w:rsidRPr="007223FB">
        <w:rPr>
          <w:iCs/>
        </w:rPr>
        <w:t xml:space="preserve">, asciende a </w:t>
      </w:r>
      <w:r w:rsidRPr="007223FB">
        <w:rPr>
          <w:b/>
          <w:iCs/>
        </w:rPr>
        <w:t xml:space="preserve">Q.49.51 </w:t>
      </w:r>
      <w:r w:rsidRPr="007223FB">
        <w:rPr>
          <w:iCs/>
        </w:rPr>
        <w:t xml:space="preserve">millones.  El porcentaje de ejecución acumulada es de </w:t>
      </w:r>
      <w:r w:rsidRPr="007223FB">
        <w:rPr>
          <w:b/>
          <w:iCs/>
        </w:rPr>
        <w:t>18.43</w:t>
      </w:r>
      <w:r w:rsidRPr="007223FB">
        <w:rPr>
          <w:rFonts w:eastAsia="Times New Roman" w:cs="Calibri"/>
          <w:b/>
          <w:iCs/>
        </w:rPr>
        <w:t>%</w:t>
      </w:r>
      <w:r w:rsidRPr="007223FB">
        <w:rPr>
          <w:iCs/>
        </w:rPr>
        <w:t xml:space="preserve"> y se clasificó según el siguiente cuadro</w:t>
      </w:r>
      <w:r w:rsidRPr="007223FB">
        <w:rPr>
          <w:i/>
          <w:iCs/>
        </w:rPr>
        <w:t xml:space="preserve">: </w:t>
      </w:r>
    </w:p>
    <w:p w:rsidR="00821719" w:rsidRPr="007223FB" w:rsidRDefault="00821719" w:rsidP="00821719">
      <w:pPr>
        <w:pStyle w:val="Prrafodelista1"/>
        <w:spacing w:after="0" w:line="240" w:lineRule="auto"/>
        <w:ind w:left="0"/>
        <w:rPr>
          <w:rFonts w:ascii="Candara" w:hAnsi="Candara"/>
          <w:i/>
          <w:iCs/>
        </w:rPr>
      </w:pPr>
    </w:p>
    <w:p w:rsidR="00821719" w:rsidRPr="007223FB" w:rsidRDefault="00821719" w:rsidP="00821719">
      <w:pPr>
        <w:rPr>
          <w:b/>
          <w:bCs/>
          <w:i/>
          <w:iCs/>
        </w:rPr>
      </w:pPr>
      <w:r w:rsidRPr="007223FB">
        <w:rPr>
          <w:b/>
          <w:bCs/>
          <w:i/>
          <w:iCs/>
        </w:rPr>
        <w:br w:type="page"/>
      </w:r>
    </w:p>
    <w:p w:rsidR="00821719" w:rsidRPr="00A17383" w:rsidRDefault="00821719" w:rsidP="00A17383">
      <w:pPr>
        <w:pStyle w:val="Ttulo4"/>
        <w:numPr>
          <w:ilvl w:val="0"/>
          <w:numId w:val="0"/>
        </w:numPr>
        <w:ind w:left="864"/>
        <w:rPr>
          <w:rFonts w:ascii="Candara" w:hAnsi="Candara"/>
          <w:b/>
          <w:color w:val="auto"/>
          <w:sz w:val="18"/>
        </w:rPr>
      </w:pPr>
      <w:bookmarkStart w:id="78" w:name="_Toc19524695"/>
      <w:r w:rsidRPr="00A17383">
        <w:rPr>
          <w:rFonts w:ascii="Candara" w:hAnsi="Candara"/>
          <w:b/>
          <w:color w:val="auto"/>
          <w:sz w:val="18"/>
        </w:rPr>
        <w:lastRenderedPageBreak/>
        <w:t xml:space="preserve">Cuadro </w:t>
      </w:r>
      <w:r w:rsidR="009B30CD">
        <w:rPr>
          <w:rFonts w:ascii="Candara" w:hAnsi="Candara"/>
          <w:b/>
          <w:color w:val="auto"/>
          <w:sz w:val="18"/>
        </w:rPr>
        <w:t>9</w:t>
      </w:r>
      <w:r w:rsidR="00A17383">
        <w:rPr>
          <w:rFonts w:ascii="Candara" w:hAnsi="Candara"/>
          <w:b/>
          <w:color w:val="auto"/>
          <w:sz w:val="18"/>
        </w:rPr>
        <w:br/>
      </w:r>
      <w:r w:rsidRPr="00A17383">
        <w:rPr>
          <w:rFonts w:ascii="Candara" w:hAnsi="Candara"/>
          <w:b/>
          <w:color w:val="auto"/>
          <w:sz w:val="18"/>
        </w:rPr>
        <w:t xml:space="preserve">Ejecución por tipo de institución Enero </w:t>
      </w:r>
      <w:r w:rsidR="00B41834" w:rsidRPr="00A17383">
        <w:rPr>
          <w:rFonts w:ascii="Candara" w:hAnsi="Candara"/>
          <w:b/>
          <w:color w:val="auto"/>
          <w:sz w:val="18"/>
        </w:rPr>
        <w:t>- Agosto</w:t>
      </w:r>
      <w:r w:rsidRPr="00A17383">
        <w:rPr>
          <w:rFonts w:ascii="Candara" w:hAnsi="Candara"/>
          <w:b/>
          <w:color w:val="auto"/>
          <w:sz w:val="18"/>
        </w:rPr>
        <w:t xml:space="preserve"> 2019</w:t>
      </w:r>
      <w:r w:rsidR="00A17383">
        <w:rPr>
          <w:rFonts w:ascii="Candara" w:hAnsi="Candara"/>
          <w:b/>
          <w:color w:val="auto"/>
          <w:sz w:val="18"/>
        </w:rPr>
        <w:br/>
      </w:r>
      <w:r w:rsidRPr="00A17383">
        <w:rPr>
          <w:rFonts w:ascii="Candara" w:hAnsi="Candara"/>
          <w:b/>
          <w:color w:val="auto"/>
          <w:sz w:val="18"/>
        </w:rPr>
        <w:t>(Ci</w:t>
      </w:r>
      <w:r w:rsidR="00B41834" w:rsidRPr="00A17383">
        <w:rPr>
          <w:rFonts w:ascii="Candara" w:hAnsi="Candara"/>
          <w:b/>
          <w:color w:val="auto"/>
          <w:sz w:val="18"/>
        </w:rPr>
        <w:t xml:space="preserve">fras expresadas en millones de </w:t>
      </w:r>
      <w:r w:rsidRPr="00A17383">
        <w:rPr>
          <w:rFonts w:ascii="Candara" w:hAnsi="Candara"/>
          <w:b/>
          <w:color w:val="auto"/>
          <w:sz w:val="18"/>
        </w:rPr>
        <w:t>Quetzales)</w:t>
      </w:r>
      <w:bookmarkEnd w:id="78"/>
    </w:p>
    <w:tbl>
      <w:tblPr>
        <w:tblW w:w="0" w:type="auto"/>
        <w:jc w:val="center"/>
        <w:tblCellMar>
          <w:left w:w="70" w:type="dxa"/>
          <w:right w:w="70" w:type="dxa"/>
        </w:tblCellMar>
        <w:tblLook w:val="04A0" w:firstRow="1" w:lastRow="0" w:firstColumn="1" w:lastColumn="0" w:noHBand="0" w:noVBand="1"/>
      </w:tblPr>
      <w:tblGrid>
        <w:gridCol w:w="2723"/>
        <w:gridCol w:w="1020"/>
        <w:gridCol w:w="869"/>
        <w:gridCol w:w="681"/>
        <w:gridCol w:w="509"/>
        <w:gridCol w:w="1417"/>
      </w:tblGrid>
      <w:tr w:rsidR="00821719" w:rsidRPr="007223FB" w:rsidTr="00EC3613">
        <w:trPr>
          <w:trHeight w:val="426"/>
          <w:jc w:val="center"/>
        </w:trPr>
        <w:tc>
          <w:tcPr>
            <w:tcW w:w="2723" w:type="dxa"/>
            <w:tcBorders>
              <w:top w:val="single" w:sz="4" w:space="0" w:color="auto"/>
              <w:left w:val="single" w:sz="4" w:space="0" w:color="auto"/>
              <w:bottom w:val="nil"/>
              <w:right w:val="single" w:sz="4" w:space="0" w:color="auto"/>
            </w:tcBorders>
            <w:shd w:val="clear" w:color="000000" w:fill="538DD5"/>
            <w:vAlign w:val="center"/>
            <w:hideMark/>
          </w:tcPr>
          <w:p w:rsidR="00821719" w:rsidRPr="007223FB" w:rsidRDefault="00821719" w:rsidP="00B41834">
            <w:pPr>
              <w:spacing w:after="60" w:line="240" w:lineRule="auto"/>
              <w:jc w:val="center"/>
              <w:rPr>
                <w:rFonts w:eastAsia="Times New Roman" w:cs="Calibri"/>
                <w:b/>
                <w:bCs/>
                <w:iCs/>
              </w:rPr>
            </w:pPr>
            <w:r w:rsidRPr="007223FB">
              <w:rPr>
                <w:rFonts w:eastAsia="Times New Roman" w:cs="Calibri"/>
                <w:b/>
                <w:bCs/>
                <w:iCs/>
              </w:rPr>
              <w:t>Tipo de Institución</w:t>
            </w:r>
          </w:p>
        </w:tc>
        <w:tc>
          <w:tcPr>
            <w:tcW w:w="940" w:type="dxa"/>
            <w:tcBorders>
              <w:top w:val="single" w:sz="4" w:space="0" w:color="auto"/>
              <w:left w:val="nil"/>
              <w:bottom w:val="nil"/>
              <w:right w:val="single" w:sz="4" w:space="0" w:color="auto"/>
            </w:tcBorders>
            <w:shd w:val="clear" w:color="000000" w:fill="538DD5"/>
            <w:hideMark/>
          </w:tcPr>
          <w:p w:rsidR="00821719" w:rsidRPr="007223FB" w:rsidRDefault="00821719" w:rsidP="00B41834">
            <w:pPr>
              <w:spacing w:after="60" w:line="240" w:lineRule="auto"/>
              <w:jc w:val="center"/>
              <w:rPr>
                <w:rFonts w:eastAsia="Times New Roman" w:cs="Calibri"/>
                <w:b/>
                <w:bCs/>
                <w:iCs/>
              </w:rPr>
            </w:pPr>
            <w:r w:rsidRPr="007223FB">
              <w:rPr>
                <w:rFonts w:eastAsia="Times New Roman" w:cs="Calibri"/>
                <w:b/>
                <w:bCs/>
                <w:iCs/>
              </w:rPr>
              <w:t>Asignado</w:t>
            </w:r>
          </w:p>
        </w:tc>
        <w:tc>
          <w:tcPr>
            <w:tcW w:w="0" w:type="auto"/>
            <w:tcBorders>
              <w:top w:val="single" w:sz="4" w:space="0" w:color="auto"/>
              <w:left w:val="nil"/>
              <w:bottom w:val="nil"/>
              <w:right w:val="single" w:sz="4" w:space="0" w:color="auto"/>
            </w:tcBorders>
            <w:shd w:val="clear" w:color="000000" w:fill="538DD5"/>
            <w:hideMark/>
          </w:tcPr>
          <w:p w:rsidR="00821719" w:rsidRPr="007223FB" w:rsidRDefault="00821719" w:rsidP="00B41834">
            <w:pPr>
              <w:spacing w:after="60" w:line="240" w:lineRule="auto"/>
              <w:jc w:val="center"/>
              <w:rPr>
                <w:rFonts w:eastAsia="Times New Roman" w:cs="Calibri"/>
                <w:b/>
                <w:bCs/>
                <w:iCs/>
              </w:rPr>
            </w:pPr>
            <w:r w:rsidRPr="007223FB">
              <w:rPr>
                <w:rFonts w:eastAsia="Times New Roman" w:cs="Calibri"/>
                <w:b/>
                <w:bCs/>
                <w:iCs/>
              </w:rPr>
              <w:t>Vigente</w:t>
            </w:r>
          </w:p>
        </w:tc>
        <w:tc>
          <w:tcPr>
            <w:tcW w:w="1190" w:type="dxa"/>
            <w:gridSpan w:val="2"/>
            <w:tcBorders>
              <w:top w:val="single" w:sz="4" w:space="0" w:color="auto"/>
              <w:left w:val="nil"/>
              <w:bottom w:val="nil"/>
              <w:right w:val="single" w:sz="4" w:space="0" w:color="auto"/>
            </w:tcBorders>
            <w:shd w:val="clear" w:color="000000" w:fill="538DD5"/>
          </w:tcPr>
          <w:p w:rsidR="00821719" w:rsidRPr="007223FB" w:rsidRDefault="00821719" w:rsidP="00B41834">
            <w:pPr>
              <w:spacing w:after="60" w:line="240" w:lineRule="auto"/>
              <w:jc w:val="center"/>
              <w:rPr>
                <w:rFonts w:eastAsia="Times New Roman" w:cs="Calibri"/>
                <w:b/>
                <w:bCs/>
                <w:iCs/>
              </w:rPr>
            </w:pPr>
            <w:r w:rsidRPr="007223FB">
              <w:rPr>
                <w:rFonts w:eastAsia="Times New Roman" w:cs="Calibri"/>
                <w:b/>
                <w:bCs/>
                <w:iCs/>
              </w:rPr>
              <w:t>Ejecutado</w:t>
            </w:r>
          </w:p>
        </w:tc>
        <w:tc>
          <w:tcPr>
            <w:tcW w:w="1417" w:type="dxa"/>
            <w:tcBorders>
              <w:top w:val="single" w:sz="4" w:space="0" w:color="auto"/>
              <w:left w:val="nil"/>
              <w:bottom w:val="nil"/>
              <w:right w:val="single" w:sz="4" w:space="0" w:color="auto"/>
            </w:tcBorders>
            <w:shd w:val="clear" w:color="000000" w:fill="538DD5"/>
            <w:hideMark/>
          </w:tcPr>
          <w:p w:rsidR="00821719" w:rsidRPr="007223FB" w:rsidRDefault="00821719" w:rsidP="00B41834">
            <w:pPr>
              <w:spacing w:after="60" w:line="240" w:lineRule="auto"/>
              <w:jc w:val="center"/>
              <w:rPr>
                <w:rFonts w:eastAsia="Times New Roman" w:cs="Calibri"/>
                <w:b/>
                <w:bCs/>
                <w:iCs/>
              </w:rPr>
            </w:pPr>
            <w:r w:rsidRPr="007223FB">
              <w:rPr>
                <w:rFonts w:eastAsia="Times New Roman" w:cs="Calibri"/>
                <w:b/>
                <w:bCs/>
                <w:iCs/>
              </w:rPr>
              <w:t>% de ejecución</w:t>
            </w:r>
          </w:p>
        </w:tc>
      </w:tr>
      <w:tr w:rsidR="00821719" w:rsidRPr="007223FB" w:rsidTr="00EC3613">
        <w:trPr>
          <w:trHeight w:val="238"/>
          <w:jc w:val="center"/>
        </w:trPr>
        <w:tc>
          <w:tcPr>
            <w:tcW w:w="2723" w:type="dxa"/>
            <w:tcBorders>
              <w:top w:val="single" w:sz="4" w:space="0" w:color="auto"/>
              <w:left w:val="single" w:sz="4" w:space="0" w:color="auto"/>
              <w:bottom w:val="dotted" w:sz="4" w:space="0" w:color="auto"/>
              <w:right w:val="dotted" w:sz="4" w:space="0" w:color="auto"/>
            </w:tcBorders>
            <w:shd w:val="clear" w:color="DAEEF3" w:fill="DAEEF3"/>
            <w:vAlign w:val="center"/>
            <w:hideMark/>
          </w:tcPr>
          <w:p w:rsidR="00821719" w:rsidRPr="007223FB" w:rsidRDefault="00821719" w:rsidP="00B41834">
            <w:pPr>
              <w:spacing w:after="60" w:line="240" w:lineRule="auto"/>
              <w:jc w:val="center"/>
              <w:rPr>
                <w:iCs/>
              </w:rPr>
            </w:pPr>
            <w:r w:rsidRPr="007223FB">
              <w:rPr>
                <w:iCs/>
              </w:rPr>
              <w:t>Ministerios</w:t>
            </w:r>
          </w:p>
        </w:tc>
        <w:tc>
          <w:tcPr>
            <w:tcW w:w="940" w:type="dxa"/>
            <w:tcBorders>
              <w:top w:val="single" w:sz="4" w:space="0" w:color="auto"/>
              <w:left w:val="nil"/>
              <w:bottom w:val="dotted" w:sz="4" w:space="0" w:color="auto"/>
              <w:right w:val="dotted" w:sz="4" w:space="0" w:color="auto"/>
            </w:tcBorders>
            <w:shd w:val="clear" w:color="DAEEF3" w:fill="DAEEF3"/>
            <w:vAlign w:val="center"/>
            <w:hideMark/>
          </w:tcPr>
          <w:p w:rsidR="00821719" w:rsidRPr="007223FB" w:rsidRDefault="00821719" w:rsidP="00B41834">
            <w:pPr>
              <w:spacing w:after="60" w:line="240" w:lineRule="auto"/>
              <w:jc w:val="center"/>
            </w:pPr>
            <w:r w:rsidRPr="007223FB">
              <w:t>156.6</w:t>
            </w:r>
          </w:p>
        </w:tc>
        <w:tc>
          <w:tcPr>
            <w:tcW w:w="0" w:type="auto"/>
            <w:tcBorders>
              <w:top w:val="single" w:sz="4" w:space="0" w:color="auto"/>
              <w:left w:val="dotted" w:sz="4" w:space="0" w:color="auto"/>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r w:rsidRPr="007223FB">
              <w:rPr>
                <w:iCs/>
              </w:rPr>
              <w:t>128.93</w:t>
            </w:r>
          </w:p>
        </w:tc>
        <w:tc>
          <w:tcPr>
            <w:tcW w:w="681" w:type="dxa"/>
            <w:tcBorders>
              <w:top w:val="single" w:sz="4" w:space="0" w:color="auto"/>
              <w:left w:val="nil"/>
              <w:bottom w:val="dotted" w:sz="4" w:space="0" w:color="auto"/>
              <w:right w:val="nil"/>
            </w:tcBorders>
            <w:shd w:val="clear" w:color="DAEEF3" w:fill="DAEEF3"/>
            <w:vAlign w:val="center"/>
          </w:tcPr>
          <w:p w:rsidR="00821719" w:rsidRPr="007223FB" w:rsidRDefault="00821719" w:rsidP="00B41834">
            <w:pPr>
              <w:spacing w:after="60" w:line="240" w:lineRule="auto"/>
              <w:jc w:val="center"/>
              <w:rPr>
                <w:iCs/>
              </w:rPr>
            </w:pPr>
            <w:r w:rsidRPr="007223FB">
              <w:rPr>
                <w:iCs/>
              </w:rPr>
              <w:t>24.27</w:t>
            </w:r>
          </w:p>
        </w:tc>
        <w:tc>
          <w:tcPr>
            <w:tcW w:w="509" w:type="dxa"/>
            <w:tcBorders>
              <w:top w:val="single" w:sz="4" w:space="0" w:color="auto"/>
              <w:left w:val="nil"/>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p>
        </w:tc>
        <w:tc>
          <w:tcPr>
            <w:tcW w:w="1417" w:type="dxa"/>
            <w:tcBorders>
              <w:top w:val="single" w:sz="4" w:space="0" w:color="auto"/>
              <w:left w:val="nil"/>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r w:rsidRPr="007223FB">
              <w:rPr>
                <w:iCs/>
              </w:rPr>
              <w:t>49.22%</w:t>
            </w:r>
          </w:p>
        </w:tc>
      </w:tr>
      <w:tr w:rsidR="00821719" w:rsidRPr="007223FB" w:rsidTr="00EC3613">
        <w:trPr>
          <w:trHeight w:val="140"/>
          <w:jc w:val="center"/>
        </w:trPr>
        <w:tc>
          <w:tcPr>
            <w:tcW w:w="2723" w:type="dxa"/>
            <w:tcBorders>
              <w:top w:val="nil"/>
              <w:left w:val="single" w:sz="4" w:space="0" w:color="auto"/>
              <w:bottom w:val="dotted" w:sz="4" w:space="0" w:color="auto"/>
              <w:right w:val="dotted" w:sz="4" w:space="0" w:color="auto"/>
            </w:tcBorders>
            <w:shd w:val="clear" w:color="B7DEE8" w:fill="B7DEE8"/>
            <w:vAlign w:val="center"/>
            <w:hideMark/>
          </w:tcPr>
          <w:p w:rsidR="00821719" w:rsidRPr="007223FB" w:rsidRDefault="00821719" w:rsidP="00B41834">
            <w:pPr>
              <w:spacing w:after="60" w:line="240" w:lineRule="auto"/>
              <w:jc w:val="center"/>
              <w:rPr>
                <w:iCs/>
              </w:rPr>
            </w:pPr>
            <w:r w:rsidRPr="007223FB">
              <w:rPr>
                <w:iCs/>
              </w:rPr>
              <w:t>Secretarías Y Otras</w:t>
            </w:r>
          </w:p>
        </w:tc>
        <w:tc>
          <w:tcPr>
            <w:tcW w:w="940" w:type="dxa"/>
            <w:tcBorders>
              <w:top w:val="nil"/>
              <w:left w:val="nil"/>
              <w:bottom w:val="dotted" w:sz="4" w:space="0" w:color="auto"/>
              <w:right w:val="dotted" w:sz="4" w:space="0" w:color="auto"/>
            </w:tcBorders>
            <w:shd w:val="clear" w:color="B7DEE8" w:fill="B7DEE8"/>
            <w:vAlign w:val="center"/>
            <w:hideMark/>
          </w:tcPr>
          <w:p w:rsidR="00821719" w:rsidRPr="007223FB" w:rsidRDefault="00821719" w:rsidP="00B41834">
            <w:pPr>
              <w:spacing w:after="60" w:line="240" w:lineRule="auto"/>
              <w:jc w:val="center"/>
            </w:pPr>
            <w:r w:rsidRPr="007223FB">
              <w:t>27.33</w:t>
            </w:r>
          </w:p>
        </w:tc>
        <w:tc>
          <w:tcPr>
            <w:tcW w:w="0" w:type="auto"/>
            <w:tcBorders>
              <w:top w:val="nil"/>
              <w:left w:val="dotted" w:sz="4" w:space="0" w:color="auto"/>
              <w:bottom w:val="dotted"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r w:rsidRPr="007223FB">
              <w:rPr>
                <w:iCs/>
              </w:rPr>
              <w:t>19.15</w:t>
            </w:r>
          </w:p>
        </w:tc>
        <w:tc>
          <w:tcPr>
            <w:tcW w:w="681" w:type="dxa"/>
            <w:tcBorders>
              <w:top w:val="nil"/>
              <w:left w:val="nil"/>
              <w:bottom w:val="dotted" w:sz="4" w:space="0" w:color="auto"/>
              <w:right w:val="nil"/>
            </w:tcBorders>
            <w:shd w:val="clear" w:color="B7DEE8" w:fill="B7DEE8"/>
            <w:vAlign w:val="center"/>
          </w:tcPr>
          <w:p w:rsidR="00821719" w:rsidRPr="007223FB" w:rsidRDefault="00821719" w:rsidP="00B41834">
            <w:pPr>
              <w:spacing w:after="60" w:line="240" w:lineRule="auto"/>
              <w:jc w:val="center"/>
              <w:rPr>
                <w:iCs/>
              </w:rPr>
            </w:pPr>
            <w:r w:rsidRPr="007223FB">
              <w:rPr>
                <w:iCs/>
              </w:rPr>
              <w:t>3.96</w:t>
            </w:r>
          </w:p>
        </w:tc>
        <w:tc>
          <w:tcPr>
            <w:tcW w:w="509" w:type="dxa"/>
            <w:tcBorders>
              <w:top w:val="nil"/>
              <w:left w:val="nil"/>
              <w:bottom w:val="dotted"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p>
        </w:tc>
        <w:tc>
          <w:tcPr>
            <w:tcW w:w="1417" w:type="dxa"/>
            <w:tcBorders>
              <w:top w:val="nil"/>
              <w:left w:val="nil"/>
              <w:bottom w:val="dotted"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r w:rsidRPr="007223FB">
              <w:rPr>
                <w:iCs/>
              </w:rPr>
              <w:t>8.00%</w:t>
            </w:r>
          </w:p>
        </w:tc>
      </w:tr>
      <w:tr w:rsidR="00821719" w:rsidRPr="007223FB" w:rsidTr="00EC3613">
        <w:trPr>
          <w:trHeight w:val="165"/>
          <w:jc w:val="center"/>
        </w:trPr>
        <w:tc>
          <w:tcPr>
            <w:tcW w:w="2723" w:type="dxa"/>
            <w:tcBorders>
              <w:top w:val="nil"/>
              <w:left w:val="single" w:sz="4" w:space="0" w:color="auto"/>
              <w:bottom w:val="dotted" w:sz="4" w:space="0" w:color="auto"/>
              <w:right w:val="dotted" w:sz="4" w:space="0" w:color="auto"/>
            </w:tcBorders>
            <w:shd w:val="clear" w:color="DAEEF3" w:fill="DAEEF3"/>
            <w:vAlign w:val="center"/>
            <w:hideMark/>
          </w:tcPr>
          <w:p w:rsidR="00821719" w:rsidRPr="007223FB" w:rsidRDefault="00821719" w:rsidP="00B41834">
            <w:pPr>
              <w:spacing w:after="60" w:line="240" w:lineRule="auto"/>
              <w:jc w:val="center"/>
              <w:rPr>
                <w:iCs/>
              </w:rPr>
            </w:pPr>
            <w:r w:rsidRPr="007223FB">
              <w:rPr>
                <w:iCs/>
              </w:rPr>
              <w:t>Obligaciones a Cargo del Tesoro</w:t>
            </w:r>
          </w:p>
        </w:tc>
        <w:tc>
          <w:tcPr>
            <w:tcW w:w="940" w:type="dxa"/>
            <w:tcBorders>
              <w:top w:val="nil"/>
              <w:left w:val="nil"/>
              <w:bottom w:val="dotted" w:sz="4" w:space="0" w:color="auto"/>
              <w:right w:val="dotted" w:sz="4" w:space="0" w:color="auto"/>
            </w:tcBorders>
            <w:shd w:val="clear" w:color="DAEEF3" w:fill="DAEEF3"/>
            <w:vAlign w:val="center"/>
            <w:hideMark/>
          </w:tcPr>
          <w:p w:rsidR="00821719" w:rsidRPr="007223FB" w:rsidRDefault="00821719" w:rsidP="00B41834">
            <w:pPr>
              <w:spacing w:after="60" w:line="240" w:lineRule="auto"/>
              <w:jc w:val="center"/>
            </w:pPr>
            <w:r w:rsidRPr="007223FB">
              <w:t>70.55</w:t>
            </w:r>
          </w:p>
        </w:tc>
        <w:tc>
          <w:tcPr>
            <w:tcW w:w="0" w:type="auto"/>
            <w:tcBorders>
              <w:top w:val="nil"/>
              <w:left w:val="dotted" w:sz="4" w:space="0" w:color="auto"/>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r w:rsidRPr="007223FB">
              <w:rPr>
                <w:iCs/>
              </w:rPr>
              <w:t>120.55</w:t>
            </w:r>
          </w:p>
        </w:tc>
        <w:tc>
          <w:tcPr>
            <w:tcW w:w="681" w:type="dxa"/>
            <w:tcBorders>
              <w:top w:val="nil"/>
              <w:left w:val="nil"/>
              <w:bottom w:val="dotted" w:sz="4" w:space="0" w:color="auto"/>
              <w:right w:val="nil"/>
            </w:tcBorders>
            <w:shd w:val="clear" w:color="DAEEF3" w:fill="DAEEF3"/>
            <w:vAlign w:val="center"/>
          </w:tcPr>
          <w:p w:rsidR="00821719" w:rsidRPr="007223FB" w:rsidRDefault="00821719" w:rsidP="00B41834">
            <w:pPr>
              <w:spacing w:after="60" w:line="240" w:lineRule="auto"/>
              <w:jc w:val="center"/>
              <w:rPr>
                <w:iCs/>
              </w:rPr>
            </w:pPr>
            <w:r w:rsidRPr="007223FB">
              <w:rPr>
                <w:iCs/>
              </w:rPr>
              <w:t>21.18</w:t>
            </w:r>
          </w:p>
        </w:tc>
        <w:tc>
          <w:tcPr>
            <w:tcW w:w="509" w:type="dxa"/>
            <w:tcBorders>
              <w:top w:val="nil"/>
              <w:left w:val="nil"/>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p>
        </w:tc>
        <w:tc>
          <w:tcPr>
            <w:tcW w:w="1417" w:type="dxa"/>
            <w:tcBorders>
              <w:top w:val="nil"/>
              <w:left w:val="nil"/>
              <w:bottom w:val="dotted" w:sz="4" w:space="0" w:color="auto"/>
              <w:right w:val="dotted" w:sz="4" w:space="0" w:color="auto"/>
            </w:tcBorders>
            <w:shd w:val="clear" w:color="DAEEF3" w:fill="DAEEF3"/>
            <w:vAlign w:val="center"/>
          </w:tcPr>
          <w:p w:rsidR="00821719" w:rsidRPr="007223FB" w:rsidRDefault="00821719" w:rsidP="00B41834">
            <w:pPr>
              <w:spacing w:after="60" w:line="240" w:lineRule="auto"/>
              <w:jc w:val="center"/>
              <w:rPr>
                <w:iCs/>
              </w:rPr>
            </w:pPr>
            <w:r w:rsidRPr="007223FB">
              <w:rPr>
                <w:iCs/>
              </w:rPr>
              <w:t>42.78%</w:t>
            </w:r>
          </w:p>
        </w:tc>
      </w:tr>
      <w:tr w:rsidR="00821719" w:rsidRPr="007223FB" w:rsidTr="00EC3613">
        <w:trPr>
          <w:trHeight w:val="140"/>
          <w:jc w:val="center"/>
        </w:trPr>
        <w:tc>
          <w:tcPr>
            <w:tcW w:w="2723" w:type="dxa"/>
            <w:tcBorders>
              <w:top w:val="nil"/>
              <w:left w:val="single" w:sz="4" w:space="0" w:color="auto"/>
              <w:bottom w:val="single" w:sz="4" w:space="0" w:color="auto"/>
              <w:right w:val="dotted" w:sz="4" w:space="0" w:color="auto"/>
            </w:tcBorders>
            <w:shd w:val="clear" w:color="B7DEE8" w:fill="B7DEE8"/>
            <w:vAlign w:val="center"/>
            <w:hideMark/>
          </w:tcPr>
          <w:p w:rsidR="00821719" w:rsidRPr="007223FB" w:rsidRDefault="00821719" w:rsidP="00B41834">
            <w:pPr>
              <w:spacing w:after="60" w:line="240" w:lineRule="auto"/>
              <w:jc w:val="center"/>
              <w:rPr>
                <w:iCs/>
              </w:rPr>
            </w:pPr>
            <w:r w:rsidRPr="007223FB">
              <w:rPr>
                <w:iCs/>
              </w:rPr>
              <w:t>Servicios de la Deuda Pública</w:t>
            </w:r>
          </w:p>
        </w:tc>
        <w:tc>
          <w:tcPr>
            <w:tcW w:w="940" w:type="dxa"/>
            <w:tcBorders>
              <w:top w:val="nil"/>
              <w:left w:val="nil"/>
              <w:bottom w:val="single" w:sz="4" w:space="0" w:color="auto"/>
              <w:right w:val="dotted" w:sz="4" w:space="0" w:color="auto"/>
            </w:tcBorders>
            <w:shd w:val="clear" w:color="B7DEE8" w:fill="B7DEE8"/>
            <w:vAlign w:val="center"/>
            <w:hideMark/>
          </w:tcPr>
          <w:p w:rsidR="00821719" w:rsidRPr="007223FB" w:rsidRDefault="00821719" w:rsidP="00B41834">
            <w:pPr>
              <w:spacing w:after="60" w:line="240" w:lineRule="auto"/>
              <w:jc w:val="center"/>
            </w:pPr>
          </w:p>
        </w:tc>
        <w:tc>
          <w:tcPr>
            <w:tcW w:w="0" w:type="auto"/>
            <w:tcBorders>
              <w:top w:val="nil"/>
              <w:left w:val="dotted" w:sz="4" w:space="0" w:color="auto"/>
              <w:bottom w:val="single"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p>
        </w:tc>
        <w:tc>
          <w:tcPr>
            <w:tcW w:w="681" w:type="dxa"/>
            <w:tcBorders>
              <w:top w:val="nil"/>
              <w:left w:val="nil"/>
              <w:bottom w:val="single" w:sz="4" w:space="0" w:color="auto"/>
              <w:right w:val="nil"/>
            </w:tcBorders>
            <w:shd w:val="clear" w:color="B7DEE8" w:fill="B7DEE8"/>
            <w:vAlign w:val="center"/>
          </w:tcPr>
          <w:p w:rsidR="00821719" w:rsidRPr="007223FB" w:rsidRDefault="00821719" w:rsidP="00B41834">
            <w:pPr>
              <w:spacing w:after="60" w:line="240" w:lineRule="auto"/>
              <w:jc w:val="center"/>
              <w:rPr>
                <w:iCs/>
              </w:rPr>
            </w:pPr>
          </w:p>
        </w:tc>
        <w:tc>
          <w:tcPr>
            <w:tcW w:w="509" w:type="dxa"/>
            <w:tcBorders>
              <w:top w:val="nil"/>
              <w:left w:val="nil"/>
              <w:bottom w:val="single"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p>
        </w:tc>
        <w:tc>
          <w:tcPr>
            <w:tcW w:w="1417" w:type="dxa"/>
            <w:tcBorders>
              <w:top w:val="nil"/>
              <w:left w:val="nil"/>
              <w:bottom w:val="single" w:sz="4" w:space="0" w:color="auto"/>
              <w:right w:val="dotted" w:sz="4" w:space="0" w:color="auto"/>
            </w:tcBorders>
            <w:shd w:val="clear" w:color="B7DEE8" w:fill="B7DEE8"/>
            <w:vAlign w:val="center"/>
          </w:tcPr>
          <w:p w:rsidR="00821719" w:rsidRPr="007223FB" w:rsidRDefault="00821719" w:rsidP="00B41834">
            <w:pPr>
              <w:spacing w:after="60" w:line="240" w:lineRule="auto"/>
              <w:jc w:val="center"/>
              <w:rPr>
                <w:iCs/>
              </w:rPr>
            </w:pPr>
            <w:r w:rsidRPr="007223FB">
              <w:rPr>
                <w:iCs/>
              </w:rPr>
              <w:t>0.00%</w:t>
            </w:r>
          </w:p>
        </w:tc>
      </w:tr>
      <w:tr w:rsidR="00821719" w:rsidRPr="007223FB" w:rsidTr="00EC3613">
        <w:trPr>
          <w:trHeight w:val="132"/>
          <w:jc w:val="center"/>
        </w:trPr>
        <w:tc>
          <w:tcPr>
            <w:tcW w:w="2723" w:type="dxa"/>
            <w:tcBorders>
              <w:top w:val="nil"/>
              <w:left w:val="single" w:sz="4" w:space="0" w:color="auto"/>
              <w:bottom w:val="single" w:sz="4" w:space="0" w:color="auto"/>
              <w:right w:val="single" w:sz="4" w:space="0" w:color="auto"/>
            </w:tcBorders>
            <w:shd w:val="clear" w:color="000000" w:fill="538DD5"/>
            <w:vAlign w:val="center"/>
            <w:hideMark/>
          </w:tcPr>
          <w:p w:rsidR="00821719" w:rsidRPr="007223FB" w:rsidRDefault="00821719" w:rsidP="00B41834">
            <w:pPr>
              <w:spacing w:after="60" w:line="240" w:lineRule="auto"/>
              <w:jc w:val="center"/>
              <w:rPr>
                <w:b/>
                <w:bCs/>
                <w:iCs/>
              </w:rPr>
            </w:pPr>
            <w:r w:rsidRPr="007223FB">
              <w:rPr>
                <w:b/>
                <w:bCs/>
                <w:iCs/>
              </w:rPr>
              <w:t>Total</w:t>
            </w:r>
          </w:p>
        </w:tc>
        <w:tc>
          <w:tcPr>
            <w:tcW w:w="940" w:type="dxa"/>
            <w:tcBorders>
              <w:top w:val="nil"/>
              <w:left w:val="nil"/>
              <w:bottom w:val="single" w:sz="4" w:space="0" w:color="auto"/>
              <w:right w:val="single" w:sz="4" w:space="0" w:color="auto"/>
            </w:tcBorders>
            <w:shd w:val="clear" w:color="000000" w:fill="538DD5"/>
            <w:noWrap/>
            <w:vAlign w:val="center"/>
            <w:hideMark/>
          </w:tcPr>
          <w:p w:rsidR="00821719" w:rsidRPr="007223FB" w:rsidRDefault="00821719" w:rsidP="00B41834">
            <w:pPr>
              <w:spacing w:after="60" w:line="240" w:lineRule="auto"/>
              <w:jc w:val="center"/>
              <w:rPr>
                <w:b/>
              </w:rPr>
            </w:pPr>
            <w:r w:rsidRPr="007223FB">
              <w:rPr>
                <w:b/>
              </w:rPr>
              <w:t>254.48</w:t>
            </w:r>
          </w:p>
        </w:tc>
        <w:tc>
          <w:tcPr>
            <w:tcW w:w="0" w:type="auto"/>
            <w:tcBorders>
              <w:top w:val="nil"/>
              <w:left w:val="single" w:sz="4" w:space="0" w:color="auto"/>
              <w:bottom w:val="single" w:sz="4" w:space="0" w:color="auto"/>
              <w:right w:val="single" w:sz="4" w:space="0" w:color="auto"/>
            </w:tcBorders>
            <w:shd w:val="clear" w:color="000000" w:fill="538DD5"/>
            <w:noWrap/>
            <w:vAlign w:val="center"/>
          </w:tcPr>
          <w:p w:rsidR="00821719" w:rsidRPr="007223FB" w:rsidRDefault="00821719" w:rsidP="00B41834">
            <w:pPr>
              <w:spacing w:after="60" w:line="240" w:lineRule="auto"/>
              <w:jc w:val="center"/>
              <w:rPr>
                <w:b/>
                <w:iCs/>
              </w:rPr>
            </w:pPr>
            <w:r w:rsidRPr="007223FB">
              <w:rPr>
                <w:b/>
                <w:iCs/>
              </w:rPr>
              <w:t>268.63</w:t>
            </w:r>
          </w:p>
        </w:tc>
        <w:tc>
          <w:tcPr>
            <w:tcW w:w="681" w:type="dxa"/>
            <w:tcBorders>
              <w:top w:val="nil"/>
              <w:left w:val="nil"/>
              <w:bottom w:val="single" w:sz="4" w:space="0" w:color="auto"/>
              <w:right w:val="nil"/>
            </w:tcBorders>
            <w:shd w:val="clear" w:color="000000" w:fill="538DD5"/>
            <w:vAlign w:val="center"/>
          </w:tcPr>
          <w:p w:rsidR="00821719" w:rsidRPr="007223FB" w:rsidRDefault="00821719" w:rsidP="00B41834">
            <w:pPr>
              <w:spacing w:after="60" w:line="240" w:lineRule="auto"/>
              <w:jc w:val="center"/>
              <w:rPr>
                <w:b/>
                <w:iCs/>
              </w:rPr>
            </w:pPr>
            <w:r w:rsidRPr="007223FB">
              <w:rPr>
                <w:b/>
                <w:iCs/>
              </w:rPr>
              <w:t>49.51</w:t>
            </w:r>
          </w:p>
        </w:tc>
        <w:tc>
          <w:tcPr>
            <w:tcW w:w="509" w:type="dxa"/>
            <w:tcBorders>
              <w:top w:val="nil"/>
              <w:left w:val="nil"/>
              <w:bottom w:val="single" w:sz="4" w:space="0" w:color="auto"/>
              <w:right w:val="single" w:sz="4" w:space="0" w:color="auto"/>
            </w:tcBorders>
            <w:shd w:val="clear" w:color="000000" w:fill="538DD5"/>
            <w:noWrap/>
            <w:vAlign w:val="center"/>
          </w:tcPr>
          <w:p w:rsidR="00821719" w:rsidRPr="007223FB" w:rsidRDefault="00821719" w:rsidP="00B41834">
            <w:pPr>
              <w:spacing w:after="60" w:line="240" w:lineRule="auto"/>
              <w:jc w:val="center"/>
              <w:rPr>
                <w:b/>
                <w:iCs/>
              </w:rPr>
            </w:pPr>
          </w:p>
        </w:tc>
        <w:tc>
          <w:tcPr>
            <w:tcW w:w="1417" w:type="dxa"/>
            <w:tcBorders>
              <w:top w:val="nil"/>
              <w:left w:val="nil"/>
              <w:bottom w:val="single" w:sz="4" w:space="0" w:color="auto"/>
              <w:right w:val="single" w:sz="4" w:space="0" w:color="auto"/>
            </w:tcBorders>
            <w:shd w:val="clear" w:color="000000" w:fill="538DD5"/>
            <w:noWrap/>
            <w:vAlign w:val="center"/>
          </w:tcPr>
          <w:p w:rsidR="00821719" w:rsidRPr="007223FB" w:rsidRDefault="00821719" w:rsidP="00B41834">
            <w:pPr>
              <w:spacing w:after="60" w:line="240" w:lineRule="auto"/>
              <w:jc w:val="center"/>
              <w:rPr>
                <w:b/>
                <w:iCs/>
              </w:rPr>
            </w:pPr>
            <w:r w:rsidRPr="007223FB">
              <w:rPr>
                <w:b/>
                <w:iCs/>
              </w:rPr>
              <w:t>100%</w:t>
            </w:r>
          </w:p>
        </w:tc>
      </w:tr>
    </w:tbl>
    <w:p w:rsidR="00821719" w:rsidRPr="007223FB" w:rsidRDefault="00821719" w:rsidP="00821719">
      <w:pPr>
        <w:pStyle w:val="Prrafodelista1"/>
        <w:spacing w:after="0" w:line="240" w:lineRule="auto"/>
        <w:ind w:left="0"/>
        <w:rPr>
          <w:rFonts w:ascii="Candara" w:hAnsi="Candara"/>
          <w:bCs/>
          <w:iCs/>
        </w:rPr>
      </w:pPr>
      <w:r w:rsidRPr="007223FB">
        <w:rPr>
          <w:rFonts w:ascii="Candara" w:hAnsi="Candara"/>
          <w:bCs/>
          <w:iCs/>
        </w:rPr>
        <w:t>Fuente: Elaboración propia SEGEPLAN con base a datos del Sistema de Contabilidad integrada -SICOIN- Ejercicio Fiscal 2019</w:t>
      </w:r>
    </w:p>
    <w:p w:rsidR="00821719" w:rsidRPr="007223FB" w:rsidRDefault="00821719" w:rsidP="00475FEA">
      <w:pPr>
        <w:spacing w:before="120" w:after="120" w:line="240" w:lineRule="auto"/>
        <w:rPr>
          <w:iCs/>
        </w:rPr>
      </w:pPr>
      <w:r w:rsidRPr="007223FB">
        <w:rPr>
          <w:iCs/>
        </w:rPr>
        <w:t>La ejecución detallada por institución se puede observar en el siguiente cuadro:</w:t>
      </w:r>
    </w:p>
    <w:p w:rsidR="00821719" w:rsidRPr="00A17383" w:rsidRDefault="00821719" w:rsidP="00A17383">
      <w:pPr>
        <w:pStyle w:val="Ttulo4"/>
        <w:numPr>
          <w:ilvl w:val="0"/>
          <w:numId w:val="0"/>
        </w:numPr>
        <w:ind w:left="864"/>
        <w:rPr>
          <w:rFonts w:ascii="Candara" w:hAnsi="Candara"/>
          <w:b/>
          <w:color w:val="auto"/>
          <w:sz w:val="18"/>
        </w:rPr>
      </w:pPr>
      <w:bookmarkStart w:id="79" w:name="_Toc19524696"/>
      <w:r w:rsidRPr="00A17383">
        <w:rPr>
          <w:rFonts w:ascii="Candara" w:hAnsi="Candara"/>
          <w:b/>
          <w:color w:val="auto"/>
          <w:sz w:val="18"/>
        </w:rPr>
        <w:t xml:space="preserve">Cuadro </w:t>
      </w:r>
      <w:r w:rsidR="009B30CD">
        <w:rPr>
          <w:rFonts w:ascii="Candara" w:hAnsi="Candara"/>
          <w:b/>
          <w:color w:val="auto"/>
          <w:sz w:val="18"/>
        </w:rPr>
        <w:t>10</w:t>
      </w:r>
      <w:r w:rsidR="00A17383">
        <w:rPr>
          <w:rFonts w:ascii="Candara" w:hAnsi="Candara"/>
          <w:b/>
          <w:color w:val="auto"/>
          <w:sz w:val="18"/>
        </w:rPr>
        <w:br/>
      </w:r>
      <w:r w:rsidRPr="00A17383">
        <w:rPr>
          <w:rFonts w:ascii="Candara" w:hAnsi="Candara"/>
          <w:b/>
          <w:color w:val="auto"/>
          <w:sz w:val="18"/>
        </w:rPr>
        <w:t>Ejecución de donaciones</w:t>
      </w:r>
      <w:r w:rsidR="00A17383">
        <w:rPr>
          <w:rFonts w:ascii="Candara" w:hAnsi="Candara"/>
          <w:b/>
          <w:color w:val="auto"/>
          <w:sz w:val="18"/>
        </w:rPr>
        <w:br/>
      </w:r>
      <w:r w:rsidRPr="00A17383">
        <w:rPr>
          <w:rFonts w:ascii="Candara" w:hAnsi="Candara"/>
          <w:b/>
          <w:color w:val="auto"/>
          <w:sz w:val="18"/>
        </w:rPr>
        <w:t>Gobierno Central - Enero – Agosto 2019</w:t>
      </w:r>
      <w:r w:rsidR="00A17383">
        <w:rPr>
          <w:rFonts w:ascii="Candara" w:hAnsi="Candara"/>
          <w:b/>
          <w:color w:val="auto"/>
          <w:sz w:val="18"/>
        </w:rPr>
        <w:br/>
      </w:r>
      <w:r w:rsidRPr="00A17383">
        <w:rPr>
          <w:rFonts w:ascii="Candara" w:hAnsi="Candara"/>
          <w:b/>
          <w:color w:val="auto"/>
          <w:sz w:val="18"/>
        </w:rPr>
        <w:t>(Cifras expresadas en millones de Quetzales)</w:t>
      </w:r>
      <w:bookmarkEnd w:id="79"/>
    </w:p>
    <w:tbl>
      <w:tblPr>
        <w:tblW w:w="8300" w:type="dxa"/>
        <w:jc w:val="center"/>
        <w:tblCellMar>
          <w:left w:w="70" w:type="dxa"/>
          <w:right w:w="70" w:type="dxa"/>
        </w:tblCellMar>
        <w:tblLook w:val="04A0" w:firstRow="1" w:lastRow="0" w:firstColumn="1" w:lastColumn="0" w:noHBand="0" w:noVBand="1"/>
      </w:tblPr>
      <w:tblGrid>
        <w:gridCol w:w="520"/>
        <w:gridCol w:w="2420"/>
        <w:gridCol w:w="1040"/>
        <w:gridCol w:w="1040"/>
        <w:gridCol w:w="1040"/>
        <w:gridCol w:w="2240"/>
      </w:tblGrid>
      <w:tr w:rsidR="00821719" w:rsidRPr="007223FB" w:rsidTr="00475FEA">
        <w:trPr>
          <w:trHeight w:val="299"/>
          <w:tblHeader/>
          <w:jc w:val="center"/>
        </w:trPr>
        <w:tc>
          <w:tcPr>
            <w:tcW w:w="5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color w:val="000000"/>
              </w:rPr>
            </w:pPr>
            <w:r w:rsidRPr="007223FB">
              <w:rPr>
                <w:rFonts w:eastAsia="Times New Roman" w:cs="Times New Roman"/>
                <w:b/>
                <w:bCs/>
                <w:iCs/>
                <w:color w:val="000000"/>
              </w:rPr>
              <w:t>No.</w:t>
            </w:r>
          </w:p>
        </w:tc>
        <w:tc>
          <w:tcPr>
            <w:tcW w:w="24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color w:val="000000"/>
              </w:rPr>
            </w:pPr>
            <w:r w:rsidRPr="007223FB">
              <w:rPr>
                <w:rFonts w:eastAsia="Times New Roman" w:cs="Times New Roman"/>
                <w:b/>
                <w:bCs/>
                <w:iCs/>
                <w:color w:val="000000"/>
              </w:rPr>
              <w:t>Institución</w:t>
            </w:r>
          </w:p>
        </w:tc>
        <w:tc>
          <w:tcPr>
            <w:tcW w:w="10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Asignado  2019</w:t>
            </w:r>
          </w:p>
        </w:tc>
        <w:tc>
          <w:tcPr>
            <w:tcW w:w="10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Vigente Agosto 2019</w:t>
            </w:r>
          </w:p>
        </w:tc>
        <w:tc>
          <w:tcPr>
            <w:tcW w:w="1040" w:type="dxa"/>
            <w:tcBorders>
              <w:top w:val="single" w:sz="4" w:space="0" w:color="auto"/>
              <w:left w:val="single" w:sz="4" w:space="0" w:color="auto"/>
              <w:bottom w:val="single" w:sz="4" w:space="0" w:color="auto"/>
              <w:right w:val="single" w:sz="4" w:space="0" w:color="FFFFFF"/>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Ejecución a Agosto  2019</w:t>
            </w:r>
          </w:p>
        </w:tc>
        <w:tc>
          <w:tcPr>
            <w:tcW w:w="22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 Ejecución a Agosto 2019</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w:t>
            </w:r>
          </w:p>
        </w:tc>
        <w:tc>
          <w:tcPr>
            <w:tcW w:w="2420" w:type="dxa"/>
            <w:tcBorders>
              <w:top w:val="dotted" w:sz="4" w:space="0" w:color="auto"/>
              <w:left w:val="dotted" w:sz="4" w:space="0" w:color="auto"/>
              <w:bottom w:val="dotted" w:sz="4" w:space="0" w:color="auto"/>
              <w:right w:val="dotted" w:sz="4" w:space="0" w:color="auto"/>
            </w:tcBorders>
            <w:shd w:val="clear" w:color="B7DEE8" w:fill="B7DEE8"/>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MINEX</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color w:val="000000"/>
              </w:rPr>
            </w:pPr>
            <w:r w:rsidRPr="007223FB">
              <w:rPr>
                <w:rFonts w:eastAsia="Times New Roman" w:cs="Times New Roman"/>
                <w:iCs/>
                <w:color w:val="000000"/>
              </w:rPr>
              <w:t>-</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color w:val="000000"/>
              </w:rPr>
            </w:pPr>
            <w:r w:rsidRPr="007223FB">
              <w:rPr>
                <w:rFonts w:eastAsia="Times New Roman" w:cs="Times New Roman"/>
                <w:iCs/>
                <w:color w:val="000000"/>
              </w:rPr>
              <w:t>-</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9160B4"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w:t>
            </w:r>
          </w:p>
        </w:tc>
        <w:tc>
          <w:tcPr>
            <w:tcW w:w="2420" w:type="dxa"/>
            <w:tcBorders>
              <w:top w:val="dotted" w:sz="4" w:space="0" w:color="auto"/>
              <w:left w:val="dotted" w:sz="4" w:space="0" w:color="auto"/>
              <w:bottom w:val="dotted" w:sz="4" w:space="0" w:color="auto"/>
              <w:right w:val="dotted" w:sz="4" w:space="0" w:color="auto"/>
            </w:tcBorders>
            <w:shd w:val="clear" w:color="DAEEF3" w:fill="DAEEF3"/>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MINGOB</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color w:val="000000"/>
              </w:rPr>
            </w:pPr>
            <w:r w:rsidRPr="007223FB">
              <w:rPr>
                <w:rFonts w:eastAsia="Times New Roman" w:cs="Times New Roman"/>
                <w:iCs/>
                <w:color w:val="000000"/>
              </w:rPr>
              <w:t>-</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color w:val="000000"/>
              </w:rPr>
            </w:pPr>
            <w:r w:rsidRPr="007223FB">
              <w:rPr>
                <w:rFonts w:eastAsia="Times New Roman" w:cs="Times New Roman"/>
                <w:iCs/>
                <w:color w:val="000000"/>
              </w:rPr>
              <w:t>-</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9160B4"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w:t>
            </w:r>
          </w:p>
        </w:tc>
        <w:tc>
          <w:tcPr>
            <w:tcW w:w="2420" w:type="dxa"/>
            <w:tcBorders>
              <w:top w:val="dotted" w:sz="4" w:space="0" w:color="auto"/>
              <w:left w:val="dotted" w:sz="4" w:space="0" w:color="auto"/>
              <w:bottom w:val="dotted" w:sz="4" w:space="0" w:color="auto"/>
              <w:right w:val="dotted" w:sz="4" w:space="0" w:color="auto"/>
            </w:tcBorders>
            <w:shd w:val="clear" w:color="B7DEE8" w:fill="B7DEE8"/>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MINFIN</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3.15</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3.15</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1.19</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37.78%</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4</w:t>
            </w:r>
          </w:p>
        </w:tc>
        <w:tc>
          <w:tcPr>
            <w:tcW w:w="2420" w:type="dxa"/>
            <w:tcBorders>
              <w:top w:val="dotted" w:sz="4" w:space="0" w:color="auto"/>
              <w:left w:val="dotted" w:sz="4" w:space="0" w:color="auto"/>
              <w:bottom w:val="dotted" w:sz="4" w:space="0" w:color="auto"/>
              <w:right w:val="dotted" w:sz="4" w:space="0" w:color="auto"/>
            </w:tcBorders>
            <w:shd w:val="clear" w:color="DAEEF3" w:fill="DAEEF3"/>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MINEDUC</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13.13</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11.36</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1.50</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13.20%</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5</w:t>
            </w:r>
          </w:p>
        </w:tc>
        <w:tc>
          <w:tcPr>
            <w:tcW w:w="2420" w:type="dxa"/>
            <w:tcBorders>
              <w:top w:val="dotted" w:sz="4" w:space="0" w:color="auto"/>
              <w:left w:val="dotted" w:sz="4" w:space="0" w:color="auto"/>
              <w:bottom w:val="dotted" w:sz="4" w:space="0" w:color="auto"/>
              <w:right w:val="dotted" w:sz="4" w:space="0" w:color="auto"/>
            </w:tcBorders>
            <w:shd w:val="clear" w:color="B7DEE8" w:fill="B7DEE8"/>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MSPAS</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30.08</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29.85</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5.62</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18.83%</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6</w:t>
            </w:r>
          </w:p>
        </w:tc>
        <w:tc>
          <w:tcPr>
            <w:tcW w:w="2420" w:type="dxa"/>
            <w:tcBorders>
              <w:top w:val="dotted" w:sz="4" w:space="0" w:color="auto"/>
              <w:left w:val="dotted" w:sz="4" w:space="0" w:color="auto"/>
              <w:bottom w:val="dotted" w:sz="4" w:space="0" w:color="auto"/>
              <w:right w:val="dotted" w:sz="4" w:space="0" w:color="auto"/>
            </w:tcBorders>
            <w:shd w:val="clear" w:color="DAEEF3" w:fill="DAEEF3"/>
            <w:noWrap/>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MINTRAB</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1.56</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0.53</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33.97%</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7</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MINECO</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3.19</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4.77</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4.69</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98.32%</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8</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MAGA</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37.70</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37.70</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2.92</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7.75%</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9</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CIV</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66.01</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14.36</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2.07</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14.42%</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10</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MEM</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3.34</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3.34</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0.00%</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11</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MICUDE</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12</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MARN</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22.84</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5.85</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25.61%</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13</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MIDES</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4062E2"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592"/>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14</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OBLIGACIONES DEL ESTADO  A CARGO DEL TESORO</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70.55</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120.55</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21.18</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17.57%</w:t>
            </w:r>
          </w:p>
        </w:tc>
      </w:tr>
      <w:tr w:rsidR="00821719" w:rsidRPr="007223FB" w:rsidTr="00821719">
        <w:trPr>
          <w:trHeight w:val="27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15</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SERVICIOS DE LA DEUDA PÚBLICA</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920909"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16</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SECRETARÍA PRIVADA</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920909"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17</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CONAP</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13.56</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13.56</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2.45</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18.07%</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18</w:t>
            </w:r>
          </w:p>
        </w:tc>
        <w:tc>
          <w:tcPr>
            <w:tcW w:w="2420" w:type="dxa"/>
            <w:tcBorders>
              <w:top w:val="dotted" w:sz="4" w:space="0" w:color="auto"/>
              <w:left w:val="dotted" w:sz="4" w:space="0" w:color="auto"/>
              <w:bottom w:val="dotted" w:sz="4" w:space="0" w:color="auto"/>
              <w:right w:val="dotted" w:sz="4" w:space="0" w:color="auto"/>
            </w:tcBorders>
            <w:shd w:val="clear" w:color="DAEEF3" w:fill="DAEEF3"/>
            <w:vAlign w:val="center"/>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SEGEPLAN</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0.50</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0.71</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0.00%</w:t>
            </w:r>
          </w:p>
        </w:tc>
      </w:tr>
      <w:tr w:rsidR="00821719" w:rsidRPr="007223FB" w:rsidTr="00821719">
        <w:trPr>
          <w:trHeight w:val="240"/>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19</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SEPREM</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2.56</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2.56</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1.26</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49.22%</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20</w:t>
            </w:r>
          </w:p>
        </w:tc>
        <w:tc>
          <w:tcPr>
            <w:tcW w:w="2420" w:type="dxa"/>
            <w:tcBorders>
              <w:top w:val="dotted" w:sz="4" w:space="0" w:color="auto"/>
              <w:left w:val="dotted" w:sz="4" w:space="0" w:color="auto"/>
              <w:bottom w:val="dotted" w:sz="4" w:space="0" w:color="auto"/>
              <w:right w:val="dotted" w:sz="4" w:space="0" w:color="auto"/>
            </w:tcBorders>
            <w:shd w:val="clear" w:color="DAEEF3" w:fill="DAEEF3"/>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SESAN</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10.71</w:t>
            </w:r>
          </w:p>
        </w:tc>
        <w:tc>
          <w:tcPr>
            <w:tcW w:w="1040" w:type="dxa"/>
            <w:tcBorders>
              <w:top w:val="dotted" w:sz="4" w:space="0" w:color="auto"/>
              <w:left w:val="dotted" w:sz="4" w:space="0" w:color="auto"/>
              <w:bottom w:val="dotted" w:sz="4" w:space="0" w:color="auto"/>
              <w:right w:val="dotted"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2.32</w:t>
            </w:r>
          </w:p>
        </w:tc>
        <w:tc>
          <w:tcPr>
            <w:tcW w:w="1040" w:type="dxa"/>
            <w:tcBorders>
              <w:top w:val="dotted" w:sz="4" w:space="0" w:color="auto"/>
              <w:left w:val="dotted" w:sz="4" w:space="0" w:color="auto"/>
              <w:bottom w:val="dotted" w:sz="4" w:space="0" w:color="auto"/>
              <w:right w:val="single" w:sz="4" w:space="0" w:color="FFFFFF"/>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0.25</w:t>
            </w:r>
          </w:p>
        </w:tc>
        <w:tc>
          <w:tcPr>
            <w:tcW w:w="2240" w:type="dxa"/>
            <w:tcBorders>
              <w:top w:val="dotted" w:sz="4" w:space="0" w:color="auto"/>
              <w:left w:val="single" w:sz="4" w:space="0" w:color="auto"/>
              <w:bottom w:val="dotted" w:sz="4" w:space="0" w:color="auto"/>
              <w:right w:val="single" w:sz="4" w:space="0" w:color="auto"/>
            </w:tcBorders>
            <w:shd w:val="clear" w:color="DAEEF3" w:fill="DAEEF3"/>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10.78%</w:t>
            </w:r>
          </w:p>
        </w:tc>
      </w:tr>
      <w:tr w:rsidR="00821719" w:rsidRPr="007223FB" w:rsidTr="00821719">
        <w:trPr>
          <w:trHeight w:val="255"/>
          <w:jc w:val="center"/>
        </w:trPr>
        <w:tc>
          <w:tcPr>
            <w:tcW w:w="520" w:type="dxa"/>
            <w:tcBorders>
              <w:top w:val="dotted" w:sz="4" w:space="0" w:color="auto"/>
              <w:left w:val="single"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lastRenderedPageBreak/>
              <w:t>21</w:t>
            </w:r>
          </w:p>
        </w:tc>
        <w:tc>
          <w:tcPr>
            <w:tcW w:w="2420" w:type="dxa"/>
            <w:tcBorders>
              <w:top w:val="dotted" w:sz="4" w:space="0" w:color="auto"/>
              <w:left w:val="dotted" w:sz="4" w:space="0" w:color="auto"/>
              <w:bottom w:val="dotted" w:sz="4" w:space="0" w:color="auto"/>
              <w:right w:val="dotted" w:sz="4" w:space="0" w:color="auto"/>
            </w:tcBorders>
            <w:shd w:val="clear" w:color="B7DEE8" w:fill="B7DEE8"/>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DEMI</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dotted"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1040" w:type="dxa"/>
            <w:tcBorders>
              <w:top w:val="dotted" w:sz="4" w:space="0" w:color="auto"/>
              <w:left w:val="dotted" w:sz="4" w:space="0" w:color="auto"/>
              <w:bottom w:val="dotted" w:sz="4" w:space="0" w:color="auto"/>
              <w:right w:val="single" w:sz="4" w:space="0" w:color="FFFFFF"/>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c>
          <w:tcPr>
            <w:tcW w:w="2240" w:type="dxa"/>
            <w:tcBorders>
              <w:top w:val="dotted" w:sz="4" w:space="0" w:color="auto"/>
              <w:left w:val="single" w:sz="4" w:space="0" w:color="auto"/>
              <w:bottom w:val="dotted" w:sz="4" w:space="0" w:color="auto"/>
              <w:right w:val="single" w:sz="4" w:space="0" w:color="auto"/>
            </w:tcBorders>
            <w:shd w:val="clear" w:color="B7DEE8" w:fill="B7DEE8"/>
            <w:noWrap/>
            <w:vAlign w:val="bottom"/>
            <w:hideMark/>
          </w:tcPr>
          <w:p w:rsidR="00821719" w:rsidRPr="007223FB" w:rsidRDefault="00821719" w:rsidP="00EC3613">
            <w:pPr>
              <w:spacing w:after="0" w:line="240" w:lineRule="auto"/>
              <w:jc w:val="center"/>
              <w:rPr>
                <w:rFonts w:eastAsia="Times New Roman" w:cs="Times New Roman"/>
                <w:iCs/>
              </w:rPr>
            </w:pPr>
            <w:r w:rsidRPr="007223FB">
              <w:rPr>
                <w:rFonts w:eastAsia="Times New Roman" w:cs="Times New Roman"/>
                <w:iCs/>
              </w:rPr>
              <w:t>-</w:t>
            </w:r>
          </w:p>
        </w:tc>
      </w:tr>
      <w:tr w:rsidR="00821719" w:rsidRPr="007223FB" w:rsidTr="00821719">
        <w:trPr>
          <w:trHeight w:val="255"/>
          <w:jc w:val="center"/>
        </w:trPr>
        <w:tc>
          <w:tcPr>
            <w:tcW w:w="5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p>
        </w:tc>
        <w:tc>
          <w:tcPr>
            <w:tcW w:w="242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TOTAL</w:t>
            </w:r>
          </w:p>
        </w:tc>
        <w:tc>
          <w:tcPr>
            <w:tcW w:w="10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254.48</w:t>
            </w:r>
          </w:p>
        </w:tc>
        <w:tc>
          <w:tcPr>
            <w:tcW w:w="10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268.63</w:t>
            </w:r>
          </w:p>
        </w:tc>
        <w:tc>
          <w:tcPr>
            <w:tcW w:w="1040"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49.51</w:t>
            </w:r>
          </w:p>
        </w:tc>
        <w:tc>
          <w:tcPr>
            <w:tcW w:w="2240"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821719" w:rsidRPr="007223FB" w:rsidRDefault="00821719" w:rsidP="00EC3613">
            <w:pPr>
              <w:spacing w:after="0" w:line="240" w:lineRule="auto"/>
              <w:jc w:val="center"/>
              <w:rPr>
                <w:rFonts w:eastAsia="Times New Roman" w:cs="Times New Roman"/>
                <w:b/>
                <w:bCs/>
                <w:iCs/>
              </w:rPr>
            </w:pPr>
            <w:r w:rsidRPr="007223FB">
              <w:rPr>
                <w:rFonts w:eastAsia="Times New Roman" w:cs="Times New Roman"/>
                <w:b/>
                <w:bCs/>
                <w:iCs/>
              </w:rPr>
              <w:t>18.43%</w:t>
            </w:r>
          </w:p>
        </w:tc>
      </w:tr>
    </w:tbl>
    <w:p w:rsidR="00821719" w:rsidRPr="007223FB" w:rsidRDefault="00821719" w:rsidP="00EC3613">
      <w:pPr>
        <w:spacing w:after="0" w:line="240" w:lineRule="auto"/>
        <w:rPr>
          <w:bCs/>
          <w:iCs/>
        </w:rPr>
      </w:pPr>
      <w:r w:rsidRPr="007223FB">
        <w:rPr>
          <w:bCs/>
          <w:iCs/>
        </w:rPr>
        <w:t>Fuente: Elaboración propia SEGEPLAN con base a datos del Sistema de Contabilidad Integrada -SICOIN</w:t>
      </w:r>
      <w:r w:rsidR="00EC3613" w:rsidRPr="007223FB">
        <w:rPr>
          <w:bCs/>
          <w:iCs/>
        </w:rPr>
        <w:t>- Ejercicio</w:t>
      </w:r>
      <w:r w:rsidRPr="007223FB">
        <w:rPr>
          <w:bCs/>
          <w:iCs/>
        </w:rPr>
        <w:t xml:space="preserve"> Fiscal 2019.</w:t>
      </w:r>
    </w:p>
    <w:p w:rsidR="00821719" w:rsidRPr="007223FB" w:rsidRDefault="00821719" w:rsidP="00821719">
      <w:pPr>
        <w:spacing w:after="0" w:line="240" w:lineRule="auto"/>
        <w:rPr>
          <w:iCs/>
        </w:rPr>
      </w:pPr>
      <w:r w:rsidRPr="007223FB">
        <w:rPr>
          <w:iCs/>
        </w:rPr>
        <w:t xml:space="preserve">El detalle de la ejecución por programa o proyecto es el siguiente: </w:t>
      </w:r>
    </w:p>
    <w:p w:rsidR="00821719" w:rsidRPr="007223FB" w:rsidRDefault="00821719" w:rsidP="00821719">
      <w:pPr>
        <w:spacing w:after="0" w:line="240" w:lineRule="auto"/>
        <w:jc w:val="center"/>
        <w:rPr>
          <w:b/>
          <w:bCs/>
          <w:i/>
          <w:iCs/>
        </w:rPr>
      </w:pPr>
    </w:p>
    <w:p w:rsidR="00821719" w:rsidRPr="00A17383" w:rsidRDefault="00821719" w:rsidP="00A17383">
      <w:pPr>
        <w:pStyle w:val="Ttulo4"/>
        <w:numPr>
          <w:ilvl w:val="0"/>
          <w:numId w:val="0"/>
        </w:numPr>
        <w:ind w:left="864"/>
        <w:rPr>
          <w:rFonts w:ascii="Candara" w:hAnsi="Candara"/>
          <w:b/>
          <w:color w:val="auto"/>
          <w:sz w:val="18"/>
        </w:rPr>
      </w:pPr>
      <w:bookmarkStart w:id="80" w:name="_Toc19524697"/>
      <w:r w:rsidRPr="00A17383">
        <w:rPr>
          <w:rFonts w:ascii="Candara" w:hAnsi="Candara"/>
          <w:b/>
          <w:color w:val="auto"/>
          <w:sz w:val="18"/>
        </w:rPr>
        <w:t xml:space="preserve">Cuadro </w:t>
      </w:r>
      <w:r w:rsidR="00A17383">
        <w:rPr>
          <w:rFonts w:ascii="Candara" w:hAnsi="Candara"/>
          <w:b/>
          <w:color w:val="auto"/>
          <w:sz w:val="18"/>
        </w:rPr>
        <w:t>1</w:t>
      </w:r>
      <w:r w:rsidR="009B30CD">
        <w:rPr>
          <w:rFonts w:ascii="Candara" w:hAnsi="Candara"/>
          <w:b/>
          <w:color w:val="auto"/>
          <w:sz w:val="18"/>
        </w:rPr>
        <w:t>1</w:t>
      </w:r>
      <w:r w:rsidR="00A17383">
        <w:rPr>
          <w:rFonts w:ascii="Candara" w:hAnsi="Candara"/>
          <w:b/>
          <w:color w:val="auto"/>
          <w:sz w:val="18"/>
        </w:rPr>
        <w:br/>
      </w:r>
      <w:r w:rsidRPr="00A17383">
        <w:rPr>
          <w:rFonts w:ascii="Candara" w:hAnsi="Candara"/>
          <w:b/>
          <w:color w:val="auto"/>
          <w:sz w:val="18"/>
        </w:rPr>
        <w:t>Ejecución por programa o proyecto Enero - Agosto 2019</w:t>
      </w:r>
      <w:r w:rsidR="00A17383">
        <w:rPr>
          <w:rFonts w:ascii="Candara" w:hAnsi="Candara"/>
          <w:b/>
          <w:color w:val="auto"/>
          <w:sz w:val="18"/>
        </w:rPr>
        <w:br/>
      </w:r>
      <w:r w:rsidRPr="00A17383">
        <w:rPr>
          <w:rFonts w:ascii="Candara" w:hAnsi="Candara"/>
          <w:b/>
          <w:color w:val="auto"/>
          <w:sz w:val="18"/>
        </w:rPr>
        <w:t>(Cifras expresadas en millones de Quetzales)</w:t>
      </w:r>
      <w:bookmarkEnd w:id="80"/>
    </w:p>
    <w:tbl>
      <w:tblPr>
        <w:tblW w:w="9634" w:type="dxa"/>
        <w:tblLayout w:type="fixed"/>
        <w:tblCellMar>
          <w:left w:w="70" w:type="dxa"/>
          <w:right w:w="70" w:type="dxa"/>
        </w:tblCellMar>
        <w:tblLook w:val="04A0" w:firstRow="1" w:lastRow="0" w:firstColumn="1" w:lastColumn="0" w:noHBand="0" w:noVBand="1"/>
      </w:tblPr>
      <w:tblGrid>
        <w:gridCol w:w="424"/>
        <w:gridCol w:w="1011"/>
        <w:gridCol w:w="540"/>
        <w:gridCol w:w="576"/>
        <w:gridCol w:w="3256"/>
        <w:gridCol w:w="1559"/>
        <w:gridCol w:w="1276"/>
        <w:gridCol w:w="992"/>
      </w:tblGrid>
      <w:tr w:rsidR="00821719" w:rsidRPr="00475FEA" w:rsidTr="00352973">
        <w:trPr>
          <w:trHeight w:val="600"/>
          <w:tblHeader/>
        </w:trPr>
        <w:tc>
          <w:tcPr>
            <w:tcW w:w="424" w:type="dxa"/>
            <w:tcBorders>
              <w:top w:val="single" w:sz="4" w:space="0" w:color="auto"/>
              <w:left w:val="single" w:sz="4" w:space="0" w:color="auto"/>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No.</w:t>
            </w:r>
          </w:p>
        </w:tc>
        <w:tc>
          <w:tcPr>
            <w:tcW w:w="1011"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Unidad Ejecutora</w:t>
            </w:r>
          </w:p>
        </w:tc>
        <w:tc>
          <w:tcPr>
            <w:tcW w:w="540"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Org</w:t>
            </w:r>
          </w:p>
        </w:tc>
        <w:tc>
          <w:tcPr>
            <w:tcW w:w="576"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Corr.</w:t>
            </w:r>
          </w:p>
        </w:tc>
        <w:tc>
          <w:tcPr>
            <w:tcW w:w="3256"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Nombre del Programa / Proyecto</w:t>
            </w:r>
          </w:p>
        </w:tc>
        <w:tc>
          <w:tcPr>
            <w:tcW w:w="1559"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Presupuesto Vigente</w:t>
            </w:r>
          </w:p>
        </w:tc>
        <w:tc>
          <w:tcPr>
            <w:tcW w:w="1276"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Ejecución al 31/08/2019</w:t>
            </w:r>
          </w:p>
        </w:tc>
        <w:tc>
          <w:tcPr>
            <w:tcW w:w="992" w:type="dxa"/>
            <w:tcBorders>
              <w:top w:val="single" w:sz="4" w:space="0" w:color="auto"/>
              <w:left w:val="nil"/>
              <w:bottom w:val="nil"/>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sz w:val="18"/>
              </w:rPr>
            </w:pPr>
            <w:r w:rsidRPr="00475FEA">
              <w:rPr>
                <w:rFonts w:eastAsia="Times New Roman" w:cs="Times New Roman"/>
                <w:b/>
                <w:bCs/>
                <w:sz w:val="18"/>
              </w:rPr>
              <w:t>% de Ejecución</w:t>
            </w:r>
          </w:p>
        </w:tc>
      </w:tr>
      <w:tr w:rsidR="00821719" w:rsidRPr="00475FEA" w:rsidTr="00352973">
        <w:trPr>
          <w:trHeight w:val="540"/>
        </w:trPr>
        <w:tc>
          <w:tcPr>
            <w:tcW w:w="42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w:t>
            </w:r>
          </w:p>
        </w:tc>
        <w:tc>
          <w:tcPr>
            <w:tcW w:w="1011"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MINFIN</w:t>
            </w:r>
          </w:p>
        </w:tc>
        <w:tc>
          <w:tcPr>
            <w:tcW w:w="540"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401</w:t>
            </w:r>
          </w:p>
        </w:tc>
        <w:tc>
          <w:tcPr>
            <w:tcW w:w="576"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30</w:t>
            </w:r>
          </w:p>
        </w:tc>
        <w:tc>
          <w:tcPr>
            <w:tcW w:w="3256" w:type="dxa"/>
            <w:tcBorders>
              <w:top w:val="single" w:sz="4" w:space="0" w:color="auto"/>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Programa de apoyo a las acciones del Ministerio de Finanzas Públicas</w:t>
            </w:r>
          </w:p>
        </w:tc>
        <w:tc>
          <w:tcPr>
            <w:tcW w:w="1559"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Q3,141,863.00</w:t>
            </w:r>
          </w:p>
        </w:tc>
        <w:tc>
          <w:tcPr>
            <w:tcW w:w="1276"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Q1,194,905.00</w:t>
            </w:r>
          </w:p>
        </w:tc>
        <w:tc>
          <w:tcPr>
            <w:tcW w:w="992"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38.03%</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Proyecto de apoyo para la implementación de la iniciativa para la transparencia de las industrias Extractivas EITI fase II</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Q9,137.00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w:t>
            </w:r>
          </w:p>
        </w:tc>
        <w:tc>
          <w:tcPr>
            <w:tcW w:w="101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MINEDUC</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Generación de Capacidades Estadísticas del Ministerio de Educación en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Q2,690,000.00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Q460,754.00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17.13%</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KFW 2009 669 45 Programa de Educación Rural en Guatemala (PROEDUC IV)</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Q8,668,121.00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Q1,034,275.98</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11.93%</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w:t>
            </w:r>
          </w:p>
        </w:tc>
        <w:tc>
          <w:tcPr>
            <w:tcW w:w="101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MSPAS</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401</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177</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Iniciativa Salud Mesoamérica, Segunda Operación</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Q1,061,000.00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Q1,020,975.85</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96.23%</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GUA-M-MSPAS Iniciativa Multisectorial para implementar y consolidar las estrategias de Prevención y Control para la pre eliminación de Malaria en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Q41,046.00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7</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Fortalecimiento de la Estrategia TAES dentro del marco de la nueva estrategia ALTO  a la tuberculosis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Q13,835,000.00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Q2,770,049.08</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20.02%</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8</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Un enfoque de múltiples partes interesadas para apoyar la implementación de estrategias nacionales para lograr la eliminación de la mala</w:t>
            </w:r>
            <w:r w:rsidR="00EC3613" w:rsidRPr="00475FEA">
              <w:rPr>
                <w:rFonts w:eastAsia="Times New Roman" w:cs="Times New Roman"/>
                <w:sz w:val="18"/>
              </w:rPr>
              <w:t>ria en Guatemala para el 2022 (A</w:t>
            </w:r>
            <w:r w:rsidRPr="00475FEA">
              <w:rPr>
                <w:rFonts w:eastAsia="Times New Roman" w:cs="Times New Roman"/>
                <w:sz w:val="18"/>
              </w:rPr>
              <w:t>c</w:t>
            </w:r>
            <w:r w:rsidR="00EC3613" w:rsidRPr="00475FEA">
              <w:rPr>
                <w:rFonts w:eastAsia="Times New Roman" w:cs="Times New Roman"/>
                <w:sz w:val="18"/>
              </w:rPr>
              <w:t>uer</w:t>
            </w:r>
            <w:r w:rsidRPr="00475FEA">
              <w:rPr>
                <w:rFonts w:eastAsia="Times New Roman" w:cs="Times New Roman"/>
                <w:sz w:val="18"/>
              </w:rPr>
              <w:t>do. Min 137-2019)</w:t>
            </w:r>
          </w:p>
        </w:tc>
        <w:tc>
          <w:tcPr>
            <w:tcW w:w="1559"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Q14,914,954.00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Q1,831,022.32</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12.28%</w:t>
            </w:r>
          </w:p>
        </w:tc>
      </w:tr>
      <w:tr w:rsidR="00821719" w:rsidRPr="00475FEA" w:rsidTr="00352973">
        <w:trPr>
          <w:trHeight w:val="540"/>
        </w:trPr>
        <w:tc>
          <w:tcPr>
            <w:tcW w:w="42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Fortalecer la Estrategia TAES en el marco de la nueva estrategia: Alta la Tuberculosis, GTM-MSPA (ADO. Min. Número 156-2019)</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w:t>
            </w:r>
          </w:p>
        </w:tc>
        <w:tc>
          <w:tcPr>
            <w:tcW w:w="101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MINTRAB</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105</w:t>
            </w:r>
          </w:p>
        </w:tc>
        <w:tc>
          <w:tcPr>
            <w:tcW w:w="325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Puesta en Marcha del Programa Nacional de Escuelas Taller de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Q307,309.00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109</w:t>
            </w:r>
          </w:p>
        </w:tc>
        <w:tc>
          <w:tcPr>
            <w:tcW w:w="325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Programa Nacional de Escuelas Taller de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Q597,775.00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Q528,155.75</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88.35%</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12</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116</w:t>
            </w:r>
          </w:p>
        </w:tc>
        <w:tc>
          <w:tcPr>
            <w:tcW w:w="325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 xml:space="preserve">Programa Nacional de Escuelas Taller de Guatemala </w:t>
            </w:r>
            <w:r w:rsidR="00EC3613" w:rsidRPr="00475FEA">
              <w:rPr>
                <w:rFonts w:eastAsia="Times New Roman" w:cs="Times New Roman"/>
                <w:sz w:val="18"/>
              </w:rPr>
              <w:t>Ref.</w:t>
            </w:r>
            <w:r w:rsidRPr="00475FEA">
              <w:rPr>
                <w:rFonts w:eastAsia="Times New Roman" w:cs="Times New Roman"/>
                <w:sz w:val="18"/>
              </w:rPr>
              <w:t>- 2018-SPE-0000400234 (ACD. MIN.74-2019)</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Q650,000.00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lastRenderedPageBreak/>
              <w:t>13</w:t>
            </w:r>
          </w:p>
        </w:tc>
        <w:tc>
          <w:tcPr>
            <w:tcW w:w="101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MINECO</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401</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31</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Actividades relacionadas con las negociaciones del tratado de libre comercio entre Centroamérica y la República de Corea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14</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Apoyo a la mejora de la competitividad y capacidad comercial de Mipymes y cooperativas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Q4,774,400.00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Q4,694,217.82</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98.32%</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15</w:t>
            </w:r>
          </w:p>
        </w:tc>
        <w:tc>
          <w:tcPr>
            <w:tcW w:w="1011" w:type="dxa"/>
            <w:vMerge w:val="restart"/>
            <w:tcBorders>
              <w:top w:val="nil"/>
              <w:left w:val="single" w:sz="4" w:space="0" w:color="auto"/>
              <w:bottom w:val="nil"/>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MAGA</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Programa de desarrollo rural sustentable para la región norte -PRODENORTE-</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Q1,420,000.00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Q292,100.00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20.57%</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16</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"Apoyo Presupuestario al Programa de Agricultura Familiar para el Fortalecimiento de la Economía Campesina (Ap-Paffec)"</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Q30,000,000.00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Q1,882,240.00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6.27%</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17</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7</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Q95,000.00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16</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Programa de 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Q37,000.00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19</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Q805,000.00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20</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25</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Q123,000.00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26</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Q537,000.00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22</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30</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Asistencia para el aumento de la producción de Alimentos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Q1,528,000.00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23</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Industrialización del Bambú en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Q3,158,000.00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Q742,593.36</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23.51%</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24</w:t>
            </w:r>
          </w:p>
        </w:tc>
        <w:tc>
          <w:tcPr>
            <w:tcW w:w="1011"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CIV</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181</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Fortalecimiento de alerta temprana climática para reducción de vulnerabilidades en sectores estratégicos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Q96,800.00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Q87,903.27</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90.81%</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25</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131</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GRT/WS-11905-GU, Programa de Agua y Saneamiento para el Desarrollo Humano (Fase I)</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26</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 xml:space="preserve">Apoyo a la estructuración del proyecto </w:t>
            </w:r>
            <w:r w:rsidR="00EC3613" w:rsidRPr="00475FEA">
              <w:rPr>
                <w:rFonts w:eastAsia="Times New Roman" w:cs="Times New Roman"/>
                <w:sz w:val="18"/>
              </w:rPr>
              <w:t>metroriel</w:t>
            </w:r>
            <w:r w:rsidRPr="00475FEA">
              <w:rPr>
                <w:rFonts w:eastAsia="Times New Roman" w:cs="Times New Roman"/>
                <w:sz w:val="18"/>
              </w:rPr>
              <w:t xml:space="preserve">  manejo ambiental y de sostenibilidad</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27</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106</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PR´OTOT: Programa de mejora y recuperación del hábitat saludable de los municipios de la mancomunidad Copan</w:t>
            </w:r>
            <w:r w:rsidR="00EC3613" w:rsidRPr="00475FEA">
              <w:rPr>
                <w:rFonts w:eastAsia="Times New Roman" w:cs="Times New Roman"/>
                <w:sz w:val="18"/>
              </w:rPr>
              <w:t xml:space="preserve"> </w:t>
            </w:r>
            <w:r w:rsidRPr="00475FEA">
              <w:rPr>
                <w:rFonts w:eastAsia="Times New Roman" w:cs="Times New Roman"/>
                <w:sz w:val="18"/>
              </w:rPr>
              <w:t>Ch'orti</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Q10,246,000.00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Q321,270.97</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3.14%</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28</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138</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Estado de Calamidad 1-18-Volcan de Fuego-CIV</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Q1,707,360.00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Q1,655,895.59</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96.99%</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29</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w:t>
            </w:r>
          </w:p>
        </w:tc>
        <w:tc>
          <w:tcPr>
            <w:tcW w:w="325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EMR Donantes Varios Externos (509)</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30</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24</w:t>
            </w:r>
          </w:p>
        </w:tc>
        <w:tc>
          <w:tcPr>
            <w:tcW w:w="325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Apoyo a la Reconstrucción por el Terremoto 7 De Noviembre</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A17719"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31</w:t>
            </w:r>
          </w:p>
        </w:tc>
        <w:tc>
          <w:tcPr>
            <w:tcW w:w="1011" w:type="dxa"/>
            <w:vMerge/>
            <w:tcBorders>
              <w:top w:val="single" w:sz="4" w:space="0" w:color="auto"/>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999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Donaciones en Gestión</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Q2,305,000.00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lastRenderedPageBreak/>
              <w:t>32</w:t>
            </w:r>
          </w:p>
        </w:tc>
        <w:tc>
          <w:tcPr>
            <w:tcW w:w="1011"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MEM</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509</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32</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Promoción de actividades productivas con el uso de energía limpia en aldeas del norte de Guatemala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Q3,336,000.00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33</w:t>
            </w:r>
          </w:p>
        </w:tc>
        <w:tc>
          <w:tcPr>
            <w:tcW w:w="1011"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MARN</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402</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166</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ATN/FP-14012-GU Estrategia Nacional REDD+ del Fondo Colaborativo del Carbono Forestal (FCPF+ por sus siglas en inglés)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Q38,567.82</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96.42%</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34</w:t>
            </w:r>
          </w:p>
        </w:tc>
        <w:tc>
          <w:tcPr>
            <w:tcW w:w="1011" w:type="dxa"/>
            <w:vMerge/>
            <w:tcBorders>
              <w:top w:val="nil"/>
              <w:left w:val="single" w:sz="4" w:space="0" w:color="auto"/>
              <w:bottom w:val="single" w:sz="4" w:space="0" w:color="000000"/>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Adaptación al cambio climático en el corredor seco</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Q22,800,000.00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Q5,806,762.78</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25.47%</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35</w:t>
            </w:r>
          </w:p>
        </w:tc>
        <w:tc>
          <w:tcPr>
            <w:tcW w:w="1011" w:type="dxa"/>
            <w:vMerge w:val="restart"/>
            <w:tcBorders>
              <w:top w:val="nil"/>
              <w:left w:val="single" w:sz="4" w:space="0" w:color="auto"/>
              <w:bottom w:val="nil"/>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OBLIG. DEL ESTADO A CAR. TESORO</w:t>
            </w: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402</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131</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INFOM Programa de agua potable y saneamiento para el desarrollo humano fase I</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Q100,000,000.00</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Q15,490,040.00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15.49%</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36</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409</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37</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SEJICMSC Programa de apoyo a la seguridad y la justicia en Guatemala</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Q1,202,494.00</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Q923,165.90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76.77%</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37</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615</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PDH Apoyo a la Procuraduría de los Derechos Humanos</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Q10,000,000.00</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38</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108</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SEJICMSC   Fortalecimiento de los mecanismos de protección de las mujeres víctimas de la violencia Fase II</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BC1F3F"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BC1F3F"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BC1F3F"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39</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112</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SEJICMSC   Fortalecimiento de los mecanismos de protección de las mujeres sobrevivientes de violencia Fase III</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Q692,414.50</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Q692,414.50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100.00%</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40</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111</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Programa de prevención de la Violencia y el Delito contra Mujeres, niñez y Adolescencia.</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41</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2102</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999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Donaciones en Gestión</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2936B1"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675"/>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42</w:t>
            </w:r>
          </w:p>
        </w:tc>
        <w:tc>
          <w:tcPr>
            <w:tcW w:w="1011" w:type="dxa"/>
            <w:vMerge/>
            <w:tcBorders>
              <w:top w:val="nil"/>
              <w:left w:val="single" w:sz="4" w:space="0" w:color="auto"/>
              <w:bottom w:val="nil"/>
              <w:right w:val="single" w:sz="4" w:space="0" w:color="auto"/>
            </w:tcBorders>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114</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SEJICMSC   Prevención de la violencia y el delito contra mujeres, niñez y adolescencia (Resolución SEICMSJ-AECID No.002-2018)</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Q8,656,091.50</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Q4,076,267.00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47.09%</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43</w:t>
            </w:r>
          </w:p>
        </w:tc>
        <w:tc>
          <w:tcPr>
            <w:tcW w:w="1011" w:type="dxa"/>
            <w:tcBorders>
              <w:top w:val="single" w:sz="4" w:space="0" w:color="auto"/>
              <w:left w:val="nil"/>
              <w:bottom w:val="nil"/>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CONAP</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505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Consolidación del sistema Guatemalteco de áreas protegidas -LIFE WEB-</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Q13,556,000.00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Q2,447,794.42</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18.06%</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44</w:t>
            </w:r>
          </w:p>
        </w:tc>
        <w:tc>
          <w:tcPr>
            <w:tcW w:w="1011" w:type="dxa"/>
            <w:tcBorders>
              <w:top w:val="single" w:sz="4" w:space="0" w:color="auto"/>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SEGEPLAN</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115</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Fortalecimiento de la Subsecretaria De Cooperación Internacional -SCI- en el ámbito De Responsables De Cooperación Iberoamericana (R-03-2018) 2018-Spe-0000400024</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Q712,700.00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Q0.00</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0.00%</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45</w:t>
            </w:r>
          </w:p>
        </w:tc>
        <w:tc>
          <w:tcPr>
            <w:tcW w:w="1011"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SEPREM</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615</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18</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Implementación de la Política Nacional de Promoción y Desarrollo Integral de las Mujeres</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Q2,558,000.00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Q1,259,296.13</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49.23%</w:t>
            </w:r>
          </w:p>
        </w:tc>
      </w:tr>
      <w:tr w:rsidR="00821719" w:rsidRPr="00475FEA" w:rsidTr="00352973">
        <w:trPr>
          <w:trHeight w:val="540"/>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46</w:t>
            </w:r>
          </w:p>
        </w:tc>
        <w:tc>
          <w:tcPr>
            <w:tcW w:w="1011"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SESAN</w:t>
            </w:r>
          </w:p>
        </w:tc>
        <w:tc>
          <w:tcPr>
            <w:tcW w:w="540"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603</w:t>
            </w:r>
          </w:p>
        </w:tc>
        <w:tc>
          <w:tcPr>
            <w:tcW w:w="5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107</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Fortalecimiento de la Gobernanza local en seguridad alimentaria y nutricional SAN en el marco del PESAN  2016-2020 en el departamento de Chiquimula</w:t>
            </w:r>
          </w:p>
        </w:tc>
        <w:tc>
          <w:tcPr>
            <w:tcW w:w="1559"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Q2,320,754.00</w:t>
            </w:r>
          </w:p>
        </w:tc>
        <w:tc>
          <w:tcPr>
            <w:tcW w:w="1276"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Q252,803.12</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10.89%</w:t>
            </w:r>
          </w:p>
        </w:tc>
      </w:tr>
      <w:tr w:rsidR="00821719" w:rsidRPr="00475FEA" w:rsidTr="00765ACE">
        <w:trPr>
          <w:trHeight w:val="222"/>
        </w:trPr>
        <w:tc>
          <w:tcPr>
            <w:tcW w:w="424" w:type="dxa"/>
            <w:tcBorders>
              <w:top w:val="nil"/>
              <w:left w:val="single" w:sz="4" w:space="0" w:color="auto"/>
              <w:bottom w:val="single" w:sz="4" w:space="0" w:color="auto"/>
              <w:right w:val="single" w:sz="4" w:space="0" w:color="auto"/>
            </w:tcBorders>
            <w:shd w:val="clear" w:color="000000" w:fill="DAEEF3"/>
            <w:noWrap/>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47</w:t>
            </w:r>
          </w:p>
        </w:tc>
        <w:tc>
          <w:tcPr>
            <w:tcW w:w="1011"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 xml:space="preserve">SECRETARÍAS Y OTRAS DEPENDENCIAS DEL </w:t>
            </w:r>
            <w:r w:rsidRPr="00475FEA">
              <w:rPr>
                <w:rFonts w:eastAsia="Times New Roman" w:cs="Times New Roman"/>
                <w:sz w:val="18"/>
              </w:rPr>
              <w:lastRenderedPageBreak/>
              <w:t>EJECUTIVO</w:t>
            </w:r>
          </w:p>
        </w:tc>
        <w:tc>
          <w:tcPr>
            <w:tcW w:w="540"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lastRenderedPageBreak/>
              <w:t>402</w:t>
            </w:r>
          </w:p>
        </w:tc>
        <w:tc>
          <w:tcPr>
            <w:tcW w:w="57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999</w:t>
            </w:r>
          </w:p>
        </w:tc>
        <w:tc>
          <w:tcPr>
            <w:tcW w:w="3256" w:type="dxa"/>
            <w:tcBorders>
              <w:top w:val="nil"/>
              <w:left w:val="nil"/>
              <w:bottom w:val="single" w:sz="4" w:space="0" w:color="auto"/>
              <w:right w:val="single" w:sz="4" w:space="0" w:color="auto"/>
            </w:tcBorders>
            <w:shd w:val="clear" w:color="000000" w:fill="DAEEF3"/>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DONACIONES EN GESTION</w:t>
            </w:r>
          </w:p>
        </w:tc>
        <w:tc>
          <w:tcPr>
            <w:tcW w:w="1559" w:type="dxa"/>
            <w:tcBorders>
              <w:top w:val="nil"/>
              <w:left w:val="nil"/>
              <w:bottom w:val="single" w:sz="4" w:space="0" w:color="auto"/>
              <w:right w:val="single" w:sz="4" w:space="0" w:color="auto"/>
            </w:tcBorders>
            <w:shd w:val="clear" w:color="000000" w:fill="DAEEF3"/>
            <w:vAlign w:val="center"/>
            <w:hideMark/>
          </w:tcPr>
          <w:p w:rsidR="00821719" w:rsidRPr="00475FEA" w:rsidRDefault="001B0A4E" w:rsidP="00EC3613">
            <w:pPr>
              <w:spacing w:after="0" w:line="240" w:lineRule="auto"/>
              <w:jc w:val="center"/>
              <w:rPr>
                <w:rFonts w:eastAsia="Times New Roman" w:cs="Times New Roman"/>
                <w:sz w:val="18"/>
              </w:rPr>
            </w:pPr>
            <w:r w:rsidRPr="00475FEA">
              <w:rPr>
                <w:rFonts w:eastAsia="Times New Roman" w:cs="Times New Roman"/>
                <w:sz w:val="18"/>
              </w:rPr>
              <w:t>-</w:t>
            </w:r>
          </w:p>
        </w:tc>
        <w:tc>
          <w:tcPr>
            <w:tcW w:w="1276" w:type="dxa"/>
            <w:tcBorders>
              <w:top w:val="nil"/>
              <w:left w:val="nil"/>
              <w:bottom w:val="single" w:sz="4" w:space="0" w:color="auto"/>
              <w:right w:val="single" w:sz="4" w:space="0" w:color="auto"/>
            </w:tcBorders>
            <w:shd w:val="clear" w:color="000000" w:fill="DAEEF3"/>
            <w:vAlign w:val="center"/>
            <w:hideMark/>
          </w:tcPr>
          <w:p w:rsidR="00821719" w:rsidRPr="00475FEA" w:rsidRDefault="001B0A4E" w:rsidP="00EC3613">
            <w:pPr>
              <w:spacing w:after="0" w:line="240" w:lineRule="auto"/>
              <w:jc w:val="center"/>
              <w:rPr>
                <w:rFonts w:eastAsia="Times New Roman" w:cs="Times New Roman"/>
                <w:sz w:val="18"/>
              </w:rPr>
            </w:pPr>
            <w:r w:rsidRPr="00475FEA">
              <w:rPr>
                <w:rFonts w:eastAsia="Times New Roman" w:cs="Times New Roman"/>
                <w:sz w:val="18"/>
              </w:rPr>
              <w:t>-</w:t>
            </w:r>
          </w:p>
        </w:tc>
        <w:tc>
          <w:tcPr>
            <w:tcW w:w="992" w:type="dxa"/>
            <w:tcBorders>
              <w:top w:val="nil"/>
              <w:left w:val="nil"/>
              <w:bottom w:val="single" w:sz="4" w:space="0" w:color="auto"/>
              <w:right w:val="single" w:sz="4" w:space="0" w:color="auto"/>
            </w:tcBorders>
            <w:shd w:val="clear" w:color="000000" w:fill="DAEEF3"/>
            <w:noWrap/>
            <w:vAlign w:val="center"/>
            <w:hideMark/>
          </w:tcPr>
          <w:p w:rsidR="00821719" w:rsidRPr="00475FEA" w:rsidRDefault="001B0A4E" w:rsidP="00EC3613">
            <w:pPr>
              <w:spacing w:after="0" w:line="240" w:lineRule="auto"/>
              <w:jc w:val="center"/>
              <w:rPr>
                <w:rFonts w:eastAsia="Times New Roman" w:cs="Times New Roman"/>
                <w:sz w:val="18"/>
              </w:rPr>
            </w:pPr>
            <w:r w:rsidRPr="00475FEA">
              <w:rPr>
                <w:rFonts w:eastAsia="Times New Roman" w:cs="Times New Roman"/>
                <w:sz w:val="18"/>
              </w:rPr>
              <w:t>-</w:t>
            </w:r>
          </w:p>
        </w:tc>
      </w:tr>
      <w:tr w:rsidR="00821719" w:rsidRPr="00475FEA" w:rsidTr="00352973">
        <w:trPr>
          <w:trHeight w:val="330"/>
        </w:trPr>
        <w:tc>
          <w:tcPr>
            <w:tcW w:w="424" w:type="dxa"/>
            <w:tcBorders>
              <w:top w:val="nil"/>
              <w:left w:val="single" w:sz="4" w:space="0" w:color="auto"/>
              <w:bottom w:val="single" w:sz="4" w:space="0" w:color="auto"/>
              <w:right w:val="single" w:sz="4" w:space="0" w:color="auto"/>
            </w:tcBorders>
            <w:shd w:val="clear" w:color="000000" w:fill="538DD5"/>
            <w:noWrap/>
            <w:vAlign w:val="center"/>
            <w:hideMark/>
          </w:tcPr>
          <w:p w:rsidR="00821719" w:rsidRPr="00475FEA" w:rsidRDefault="00821719" w:rsidP="00EC3613">
            <w:pPr>
              <w:spacing w:after="0" w:line="240" w:lineRule="auto"/>
              <w:jc w:val="center"/>
              <w:rPr>
                <w:rFonts w:eastAsia="Times New Roman" w:cs="Times New Roman"/>
                <w:sz w:val="18"/>
              </w:rPr>
            </w:pPr>
          </w:p>
        </w:tc>
        <w:tc>
          <w:tcPr>
            <w:tcW w:w="1011" w:type="dxa"/>
            <w:tcBorders>
              <w:top w:val="nil"/>
              <w:left w:val="nil"/>
              <w:bottom w:val="single" w:sz="4" w:space="0" w:color="auto"/>
              <w:right w:val="single" w:sz="4" w:space="0" w:color="auto"/>
            </w:tcBorders>
            <w:shd w:val="clear" w:color="000000" w:fill="538DD5"/>
            <w:noWrap/>
            <w:vAlign w:val="center"/>
            <w:hideMark/>
          </w:tcPr>
          <w:p w:rsidR="00821719" w:rsidRPr="00475FEA" w:rsidRDefault="00821719" w:rsidP="00EC3613">
            <w:pPr>
              <w:spacing w:after="0" w:line="240" w:lineRule="auto"/>
              <w:jc w:val="center"/>
              <w:rPr>
                <w:rFonts w:eastAsia="Times New Roman" w:cs="Times New Roman"/>
                <w:sz w:val="18"/>
              </w:rPr>
            </w:pPr>
          </w:p>
        </w:tc>
        <w:tc>
          <w:tcPr>
            <w:tcW w:w="540" w:type="dxa"/>
            <w:tcBorders>
              <w:top w:val="nil"/>
              <w:left w:val="nil"/>
              <w:bottom w:val="single" w:sz="4" w:space="0" w:color="auto"/>
              <w:right w:val="single" w:sz="4" w:space="0" w:color="auto"/>
            </w:tcBorders>
            <w:shd w:val="clear" w:color="000000" w:fill="538DD5"/>
            <w:noWrap/>
            <w:vAlign w:val="center"/>
            <w:hideMark/>
          </w:tcPr>
          <w:p w:rsidR="00821719" w:rsidRPr="00475FEA" w:rsidRDefault="00821719" w:rsidP="00EC3613">
            <w:pPr>
              <w:spacing w:after="0" w:line="240" w:lineRule="auto"/>
              <w:jc w:val="center"/>
              <w:rPr>
                <w:rFonts w:eastAsia="Times New Roman" w:cs="Times New Roman"/>
                <w:sz w:val="18"/>
              </w:rPr>
            </w:pPr>
          </w:p>
        </w:tc>
        <w:tc>
          <w:tcPr>
            <w:tcW w:w="576" w:type="dxa"/>
            <w:tcBorders>
              <w:top w:val="nil"/>
              <w:left w:val="nil"/>
              <w:bottom w:val="single" w:sz="4" w:space="0" w:color="auto"/>
              <w:right w:val="single" w:sz="4" w:space="0" w:color="auto"/>
            </w:tcBorders>
            <w:shd w:val="clear" w:color="000000" w:fill="538DD5"/>
            <w:noWrap/>
            <w:vAlign w:val="center"/>
            <w:hideMark/>
          </w:tcPr>
          <w:p w:rsidR="00821719" w:rsidRPr="00475FEA" w:rsidRDefault="00821719" w:rsidP="00EC3613">
            <w:pPr>
              <w:spacing w:after="0" w:line="240" w:lineRule="auto"/>
              <w:jc w:val="center"/>
              <w:rPr>
                <w:rFonts w:eastAsia="Times New Roman" w:cs="Times New Roman"/>
                <w:sz w:val="18"/>
              </w:rPr>
            </w:pPr>
          </w:p>
        </w:tc>
        <w:tc>
          <w:tcPr>
            <w:tcW w:w="3256" w:type="dxa"/>
            <w:tcBorders>
              <w:top w:val="nil"/>
              <w:left w:val="nil"/>
              <w:bottom w:val="single" w:sz="4" w:space="0" w:color="auto"/>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sz w:val="18"/>
              </w:rPr>
            </w:pPr>
            <w:r w:rsidRPr="00475FEA">
              <w:rPr>
                <w:rFonts w:eastAsia="Times New Roman" w:cs="Times New Roman"/>
                <w:sz w:val="18"/>
              </w:rPr>
              <w:t>TOTAL GENERAL</w:t>
            </w:r>
          </w:p>
        </w:tc>
        <w:tc>
          <w:tcPr>
            <w:tcW w:w="1559" w:type="dxa"/>
            <w:tcBorders>
              <w:top w:val="nil"/>
              <w:left w:val="nil"/>
              <w:bottom w:val="single" w:sz="4" w:space="0" w:color="auto"/>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iCs/>
                <w:sz w:val="18"/>
              </w:rPr>
            </w:pPr>
            <w:r w:rsidRPr="00475FEA">
              <w:rPr>
                <w:rFonts w:eastAsia="Times New Roman" w:cs="Times New Roman"/>
                <w:b/>
                <w:bCs/>
                <w:iCs/>
                <w:sz w:val="18"/>
              </w:rPr>
              <w:t>Q268,623,219.00</w:t>
            </w:r>
          </w:p>
        </w:tc>
        <w:tc>
          <w:tcPr>
            <w:tcW w:w="1276" w:type="dxa"/>
            <w:tcBorders>
              <w:top w:val="nil"/>
              <w:left w:val="nil"/>
              <w:bottom w:val="single" w:sz="4" w:space="0" w:color="auto"/>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b/>
                <w:bCs/>
                <w:iCs/>
                <w:sz w:val="18"/>
              </w:rPr>
            </w:pPr>
            <w:r w:rsidRPr="00475FEA">
              <w:rPr>
                <w:rFonts w:eastAsia="Times New Roman" w:cs="Times New Roman"/>
                <w:b/>
                <w:bCs/>
                <w:iCs/>
                <w:sz w:val="18"/>
              </w:rPr>
              <w:t>Q49,503,470.66</w:t>
            </w:r>
          </w:p>
        </w:tc>
        <w:tc>
          <w:tcPr>
            <w:tcW w:w="992" w:type="dxa"/>
            <w:tcBorders>
              <w:top w:val="nil"/>
              <w:left w:val="nil"/>
              <w:bottom w:val="single" w:sz="4" w:space="0" w:color="auto"/>
              <w:right w:val="single" w:sz="4" w:space="0" w:color="auto"/>
            </w:tcBorders>
            <w:shd w:val="clear" w:color="000000" w:fill="538DD5"/>
            <w:vAlign w:val="center"/>
            <w:hideMark/>
          </w:tcPr>
          <w:p w:rsidR="00821719" w:rsidRPr="00475FEA" w:rsidRDefault="00821719" w:rsidP="00EC3613">
            <w:pPr>
              <w:spacing w:after="0" w:line="240" w:lineRule="auto"/>
              <w:jc w:val="center"/>
              <w:rPr>
                <w:rFonts w:eastAsia="Times New Roman" w:cs="Times New Roman"/>
                <w:sz w:val="18"/>
              </w:rPr>
            </w:pPr>
          </w:p>
        </w:tc>
      </w:tr>
    </w:tbl>
    <w:p w:rsidR="00821719" w:rsidRPr="007223FB" w:rsidRDefault="00821719" w:rsidP="00EC3613">
      <w:pPr>
        <w:spacing w:after="0" w:line="240" w:lineRule="auto"/>
        <w:jc w:val="center"/>
        <w:rPr>
          <w:b/>
          <w:bCs/>
          <w:iCs/>
        </w:rPr>
      </w:pPr>
    </w:p>
    <w:p w:rsidR="00821719" w:rsidRPr="007223FB" w:rsidRDefault="00821719" w:rsidP="00821719">
      <w:pPr>
        <w:spacing w:after="0" w:line="240" w:lineRule="auto"/>
        <w:rPr>
          <w:bCs/>
          <w:iCs/>
        </w:rPr>
      </w:pPr>
      <w:r w:rsidRPr="007223FB">
        <w:rPr>
          <w:bCs/>
          <w:iCs/>
        </w:rPr>
        <w:t>Fuente: Elaboración propia SEGEPLAN con base a datos del Sistema de Contabilidad Integrada -SICOIN- Ejercicio Fiscal 2019.</w:t>
      </w:r>
    </w:p>
    <w:p w:rsidR="00821719" w:rsidRPr="007223FB" w:rsidRDefault="00821719" w:rsidP="00821719">
      <w:pPr>
        <w:spacing w:after="0" w:line="240" w:lineRule="auto"/>
        <w:rPr>
          <w:bCs/>
          <w:iCs/>
        </w:rPr>
      </w:pPr>
      <w:r w:rsidRPr="007223FB">
        <w:rPr>
          <w:bCs/>
          <w:iCs/>
        </w:rPr>
        <w:t>*Estos proyectos han finalizado y se encuentran en cierre en los sistemas respectivos, por lo que reflejan ejecución cero (0).</w:t>
      </w:r>
    </w:p>
    <w:p w:rsidR="00821719" w:rsidRPr="007223FB" w:rsidRDefault="00821719" w:rsidP="00821719">
      <w:pPr>
        <w:spacing w:after="0" w:line="240" w:lineRule="auto"/>
        <w:rPr>
          <w:bCs/>
          <w:iCs/>
        </w:rPr>
      </w:pPr>
      <w:r w:rsidRPr="007223FB">
        <w:rPr>
          <w:bCs/>
          <w:iCs/>
        </w:rPr>
        <w:t>**Este proyecto se encuentra a la espera de condiciones previas para iniciar la ejecución.</w:t>
      </w:r>
    </w:p>
    <w:p w:rsidR="00821719" w:rsidRPr="007223FB" w:rsidRDefault="00821719" w:rsidP="00821719">
      <w:pPr>
        <w:spacing w:after="0" w:line="240" w:lineRule="auto"/>
        <w:rPr>
          <w:bCs/>
          <w:iCs/>
        </w:rPr>
      </w:pPr>
      <w:r w:rsidRPr="007223FB">
        <w:rPr>
          <w:bCs/>
          <w:iCs/>
        </w:rPr>
        <w:t>*** Proyectos con partida presupuestaria asignada en el mes de mayo.</w:t>
      </w:r>
    </w:p>
    <w:p w:rsidR="009A7C91" w:rsidRPr="007223FB" w:rsidRDefault="009A7C91" w:rsidP="000B07D9">
      <w:pPr>
        <w:pStyle w:val="Ttulo2"/>
        <w:numPr>
          <w:ilvl w:val="1"/>
          <w:numId w:val="8"/>
        </w:numPr>
        <w:spacing w:before="120" w:after="120" w:line="240" w:lineRule="auto"/>
        <w:rPr>
          <w:szCs w:val="22"/>
          <w:lang w:val="es-ES"/>
        </w:rPr>
      </w:pPr>
      <w:bookmarkStart w:id="81" w:name="_Toc19527447"/>
      <w:r w:rsidRPr="007223FB">
        <w:rPr>
          <w:szCs w:val="22"/>
          <w:lang w:val="es-ES"/>
        </w:rPr>
        <w:t>Comparación de la ejecución durante el período 2019</w:t>
      </w:r>
      <w:bookmarkEnd w:id="81"/>
    </w:p>
    <w:p w:rsidR="00821719" w:rsidRPr="007223FB" w:rsidRDefault="00821719" w:rsidP="00475FEA">
      <w:pPr>
        <w:spacing w:before="120" w:after="120" w:line="240" w:lineRule="auto"/>
        <w:rPr>
          <w:bCs/>
          <w:iCs/>
        </w:rPr>
      </w:pPr>
      <w:r w:rsidRPr="007223FB">
        <w:rPr>
          <w:bCs/>
          <w:iCs/>
        </w:rPr>
        <w:t>A continuación, en el Gráfico No.5, se presentan los montos absolutos de ejecución, tanto en el primer como en el segundo cuatrimestre de 2019.  Dichos montos corresponden, tanto a nivel de Gobierno Central como de Entidades Descentralizadas.</w:t>
      </w:r>
    </w:p>
    <w:p w:rsidR="00821719" w:rsidRPr="007223FB" w:rsidRDefault="00821719" w:rsidP="00475FEA">
      <w:pPr>
        <w:spacing w:before="120" w:after="120" w:line="240" w:lineRule="auto"/>
        <w:rPr>
          <w:bCs/>
          <w:iCs/>
        </w:rPr>
      </w:pPr>
      <w:r w:rsidRPr="007223FB">
        <w:rPr>
          <w:bCs/>
          <w:iCs/>
        </w:rPr>
        <w:t>Asimismo, se presentan los porcentajes de ejecución alcanzados al finalizar el segundo cuatrimestre, que corresponden ya sea sobre el monto asignado a inicios del ejercicio fiscal de 2019, como sobre el monto vigente al 31 de agosto del presente año.</w:t>
      </w:r>
    </w:p>
    <w:p w:rsidR="00821719" w:rsidRPr="007223FB" w:rsidRDefault="00765ACE" w:rsidP="00765ACE">
      <w:pPr>
        <w:pStyle w:val="Ttulo5"/>
        <w:numPr>
          <w:ilvl w:val="0"/>
          <w:numId w:val="0"/>
        </w:numPr>
        <w:ind w:left="1008"/>
        <w:rPr>
          <w:b/>
          <w:bCs/>
          <w:iCs/>
        </w:rPr>
      </w:pPr>
      <w:bookmarkStart w:id="82" w:name="_Toc19527387"/>
      <w:r>
        <w:rPr>
          <w:rFonts w:ascii="Candara" w:hAnsi="Candara"/>
          <w:b/>
          <w:color w:val="auto"/>
          <w:sz w:val="18"/>
        </w:rPr>
        <w:t>Gráfica 4</w:t>
      </w:r>
      <w:r>
        <w:rPr>
          <w:rFonts w:ascii="Candara" w:hAnsi="Candara"/>
          <w:b/>
          <w:color w:val="auto"/>
          <w:sz w:val="18"/>
        </w:rPr>
        <w:br/>
      </w:r>
      <w:r w:rsidR="00821719" w:rsidRPr="00765ACE">
        <w:rPr>
          <w:rFonts w:ascii="Candara" w:hAnsi="Candara"/>
          <w:b/>
          <w:color w:val="auto"/>
          <w:sz w:val="18"/>
        </w:rPr>
        <w:t>Comportamiento de la Ejecución entre el Cuatrimestre 1 y 2 de 2019</w:t>
      </w:r>
      <w:r>
        <w:rPr>
          <w:rFonts w:ascii="Candara" w:hAnsi="Candara"/>
          <w:b/>
          <w:color w:val="auto"/>
          <w:sz w:val="18"/>
        </w:rPr>
        <w:br/>
      </w:r>
      <w:r w:rsidR="00821719" w:rsidRPr="00765ACE">
        <w:rPr>
          <w:rFonts w:ascii="Candara" w:hAnsi="Candara"/>
          <w:b/>
          <w:color w:val="auto"/>
          <w:sz w:val="18"/>
        </w:rPr>
        <w:t>(Expresado en Millones de Quetzales)</w:t>
      </w:r>
      <w:bookmarkEnd w:id="82"/>
    </w:p>
    <w:p w:rsidR="00821719" w:rsidRPr="007223FB" w:rsidRDefault="00821719" w:rsidP="00821719">
      <w:pPr>
        <w:spacing w:after="0"/>
        <w:jc w:val="center"/>
        <w:rPr>
          <w:b/>
          <w:bCs/>
          <w:i/>
          <w:iCs/>
        </w:rPr>
      </w:pPr>
      <w:r w:rsidRPr="007223FB">
        <w:rPr>
          <w:noProof/>
          <w:lang w:eastAsia="es-GT"/>
        </w:rPr>
        <mc:AlternateContent>
          <mc:Choice Requires="wps">
            <w:drawing>
              <wp:anchor distT="0" distB="0" distL="114300" distR="114300" simplePos="0" relativeHeight="251664384" behindDoc="0" locked="0" layoutInCell="1" allowOverlap="1" wp14:anchorId="1D3AA4EE" wp14:editId="6DD603D8">
                <wp:simplePos x="0" y="0"/>
                <wp:positionH relativeFrom="column">
                  <wp:posOffset>3369310</wp:posOffset>
                </wp:positionH>
                <wp:positionV relativeFrom="paragraph">
                  <wp:posOffset>2308225</wp:posOffset>
                </wp:positionV>
                <wp:extent cx="1158698" cy="489098"/>
                <wp:effectExtent l="0" t="0" r="3810" b="6350"/>
                <wp:wrapNone/>
                <wp:docPr id="24" name="Cuadro de texto 24"/>
                <wp:cNvGraphicFramePr/>
                <a:graphic xmlns:a="http://schemas.openxmlformats.org/drawingml/2006/main">
                  <a:graphicData uri="http://schemas.microsoft.com/office/word/2010/wordprocessingShape">
                    <wps:wsp>
                      <wps:cNvSpPr txBox="1"/>
                      <wps:spPr>
                        <a:xfrm>
                          <a:off x="0" y="0"/>
                          <a:ext cx="1158698"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30FB" w:rsidRPr="005F6654" w:rsidRDefault="003230FB" w:rsidP="00821719">
                            <w:pPr>
                              <w:pStyle w:val="Sinespaciado"/>
                              <w:jc w:val="center"/>
                              <w:rPr>
                                <w:rFonts w:ascii="Candara" w:hAnsi="Candara"/>
                                <w:b/>
                                <w:color w:val="0070C0"/>
                                <w:sz w:val="20"/>
                                <w:szCs w:val="20"/>
                                <w:lang w:val="es-MX"/>
                              </w:rPr>
                            </w:pPr>
                            <w:r>
                              <w:rPr>
                                <w:rFonts w:ascii="Candara" w:hAnsi="Candara"/>
                                <w:b/>
                                <w:color w:val="0070C0"/>
                                <w:sz w:val="20"/>
                                <w:szCs w:val="20"/>
                                <w:lang w:val="es-MX"/>
                              </w:rPr>
                              <w:t>Entidades Descentralizadas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D3AA4EE" id="_x0000_t202" coordsize="21600,21600" o:spt="202" path="m,l,21600r21600,l21600,xe">
                <v:stroke joinstyle="miter"/>
                <v:path gradientshapeok="t" o:connecttype="rect"/>
              </v:shapetype>
              <v:shape id="Cuadro de texto 24" o:spid="_x0000_s1026" type="#_x0000_t202" style="position:absolute;left:0;text-align:left;margin-left:265.3pt;margin-top:181.75pt;width:91.25pt;height: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" fillcolor="white [3201]" stroked="f" strokeweight=".5pt">
                <v:textbox>
                  <w:txbxContent>
                    <w:p w:rsidR="003230FB" w:rsidRPr="005F6654" w:rsidRDefault="003230FB" w:rsidP="00821719">
                      <w:pPr>
                        <w:pStyle w:val="Sinespaciado"/>
                        <w:jc w:val="center"/>
                        <w:rPr>
                          <w:rFonts w:ascii="Candara" w:hAnsi="Candara"/>
                          <w:b/>
                          <w:color w:val="0070C0"/>
                          <w:sz w:val="20"/>
                          <w:szCs w:val="20"/>
                          <w:lang w:val="es-MX"/>
                        </w:rPr>
                      </w:pPr>
                      <w:r>
                        <w:rPr>
                          <w:rFonts w:ascii="Candara" w:hAnsi="Candara"/>
                          <w:b/>
                          <w:color w:val="0070C0"/>
                          <w:sz w:val="20"/>
                          <w:szCs w:val="20"/>
                          <w:lang w:val="es-MX"/>
                        </w:rPr>
                        <w:t>Entidades Descentralizadas</w:t>
                      </w:r>
                    </w:p>
                  </w:txbxContent>
                </v:textbox>
              </v:shape>
            </w:pict>
          </mc:Fallback>
        </mc:AlternateContent>
      </w:r>
      <w:r w:rsidRPr="007223FB">
        <w:rPr>
          <w:noProof/>
          <w:lang w:eastAsia="es-GT"/>
        </w:rPr>
        <mc:AlternateContent>
          <mc:Choice Requires="wps">
            <w:drawing>
              <wp:anchor distT="0" distB="0" distL="114300" distR="114300" simplePos="0" relativeHeight="251667456" behindDoc="0" locked="0" layoutInCell="1" allowOverlap="1" wp14:anchorId="465E56F3" wp14:editId="2C3A8E42">
                <wp:simplePos x="0" y="0"/>
                <wp:positionH relativeFrom="margin">
                  <wp:posOffset>3456940</wp:posOffset>
                </wp:positionH>
                <wp:positionV relativeFrom="paragraph">
                  <wp:posOffset>1309370</wp:posOffset>
                </wp:positionV>
                <wp:extent cx="967105" cy="447040"/>
                <wp:effectExtent l="0" t="0" r="4445" b="0"/>
                <wp:wrapNone/>
                <wp:docPr id="25" name="Cuadro de texto 25"/>
                <wp:cNvGraphicFramePr/>
                <a:graphic xmlns:a="http://schemas.openxmlformats.org/drawingml/2006/main">
                  <a:graphicData uri="http://schemas.microsoft.com/office/word/2010/wordprocessingShape">
                    <wps:wsp>
                      <wps:cNvSpPr txBox="1"/>
                      <wps:spPr>
                        <a:xfrm>
                          <a:off x="0" y="0"/>
                          <a:ext cx="967105" cy="447040"/>
                        </a:xfrm>
                        <a:prstGeom prst="rect">
                          <a:avLst/>
                        </a:prstGeom>
                        <a:solidFill>
                          <a:sysClr val="window" lastClr="FFFFFF"/>
                        </a:solidFill>
                        <a:ln w="6350">
                          <a:noFill/>
                        </a:ln>
                        <a:effectLst/>
                      </wps:spPr>
                      <wps:txbx>
                        <w:txbxContent>
                          <w:p w:rsidR="003230FB" w:rsidRPr="005F6654" w:rsidRDefault="003230FB" w:rsidP="00821719">
                            <w:pPr>
                              <w:pStyle w:val="Sinespaciado"/>
                              <w:jc w:val="center"/>
                              <w:rPr>
                                <w:rFonts w:ascii="Candara" w:hAnsi="Candara"/>
                                <w:b/>
                                <w:color w:val="0070C0"/>
                                <w:sz w:val="20"/>
                                <w:szCs w:val="20"/>
                                <w:lang w:val="es-MX"/>
                              </w:rPr>
                            </w:pPr>
                            <w:r w:rsidRPr="005F6654">
                              <w:rPr>
                                <w:rFonts w:ascii="Candara" w:hAnsi="Candara"/>
                                <w:b/>
                                <w:color w:val="0070C0"/>
                                <w:sz w:val="20"/>
                                <w:szCs w:val="20"/>
                                <w:lang w:val="es-MX"/>
                              </w:rPr>
                              <w:t>Gobierno</w:t>
                            </w:r>
                          </w:p>
                          <w:p w:rsidR="003230FB" w:rsidRPr="005F6654" w:rsidRDefault="003230FB" w:rsidP="00821719">
                            <w:pPr>
                              <w:pStyle w:val="Sinespaciado"/>
                              <w:jc w:val="center"/>
                              <w:rPr>
                                <w:rFonts w:ascii="Candara" w:hAnsi="Candara"/>
                                <w:b/>
                                <w:color w:val="0070C0"/>
                                <w:sz w:val="20"/>
                                <w:szCs w:val="20"/>
                                <w:lang w:val="es-MX"/>
                              </w:rPr>
                            </w:pPr>
                            <w:r w:rsidRPr="005F6654">
                              <w:rPr>
                                <w:rFonts w:ascii="Candara" w:hAnsi="Candara"/>
                                <w:b/>
                                <w:color w:val="0070C0"/>
                                <w:sz w:val="20"/>
                                <w:szCs w:val="20"/>
                                <w:lang w:val="es-MX"/>
                              </w:rPr>
                              <w:t>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E56F3" id="Cuadro de texto 25" o:spid="_x0000_s1027" type="#_x0000_t202" style="position:absolute;left:0;text-align:left;margin-left:272.2pt;margin-top:103.1pt;width:76.15pt;height:3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" fillcolor="window" stroked="f" strokeweight=".5pt">
                <v:textbox>
                  <w:txbxContent>
                    <w:p w:rsidR="003230FB" w:rsidRPr="005F6654" w:rsidRDefault="003230FB" w:rsidP="00821719">
                      <w:pPr>
                        <w:pStyle w:val="Sinespaciado"/>
                        <w:jc w:val="center"/>
                        <w:rPr>
                          <w:rFonts w:ascii="Candara" w:hAnsi="Candara"/>
                          <w:b/>
                          <w:color w:val="0070C0"/>
                          <w:sz w:val="20"/>
                          <w:szCs w:val="20"/>
                          <w:lang w:val="es-MX"/>
                        </w:rPr>
                      </w:pPr>
                      <w:r w:rsidRPr="005F6654">
                        <w:rPr>
                          <w:rFonts w:ascii="Candara" w:hAnsi="Candara"/>
                          <w:b/>
                          <w:color w:val="0070C0"/>
                          <w:sz w:val="20"/>
                          <w:szCs w:val="20"/>
                          <w:lang w:val="es-MX"/>
                        </w:rPr>
                        <w:t>Gobierno</w:t>
                      </w:r>
                    </w:p>
                    <w:p w:rsidR="003230FB" w:rsidRPr="005F6654" w:rsidRDefault="003230FB" w:rsidP="00821719">
                      <w:pPr>
                        <w:pStyle w:val="Sinespaciado"/>
                        <w:jc w:val="center"/>
                        <w:rPr>
                          <w:rFonts w:ascii="Candara" w:hAnsi="Candara"/>
                          <w:b/>
                          <w:color w:val="0070C0"/>
                          <w:sz w:val="20"/>
                          <w:szCs w:val="20"/>
                          <w:lang w:val="es-MX"/>
                        </w:rPr>
                      </w:pPr>
                      <w:r w:rsidRPr="005F6654">
                        <w:rPr>
                          <w:rFonts w:ascii="Candara" w:hAnsi="Candara"/>
                          <w:b/>
                          <w:color w:val="0070C0"/>
                          <w:sz w:val="20"/>
                          <w:szCs w:val="20"/>
                          <w:lang w:val="es-MX"/>
                        </w:rPr>
                        <w:t>Central</w:t>
                      </w:r>
                    </w:p>
                  </w:txbxContent>
                </v:textbox>
                <w10:wrap anchorx="margin"/>
              </v:shape>
            </w:pict>
          </mc:Fallback>
        </mc:AlternateContent>
      </w:r>
      <w:r w:rsidRPr="007223FB">
        <w:rPr>
          <w:b/>
          <w:bCs/>
          <w:i/>
          <w:iCs/>
          <w:noProof/>
          <w:lang w:eastAsia="es-GT"/>
        </w:rPr>
        <w:drawing>
          <wp:inline distT="0" distB="0" distL="0" distR="0" wp14:anchorId="5D70359E" wp14:editId="34C5DEB8">
            <wp:extent cx="5547815" cy="327840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3867" cy="3287893"/>
                    </a:xfrm>
                    <a:prstGeom prst="rect">
                      <a:avLst/>
                    </a:prstGeom>
                    <a:noFill/>
                  </pic:spPr>
                </pic:pic>
              </a:graphicData>
            </a:graphic>
          </wp:inline>
        </w:drawing>
      </w:r>
    </w:p>
    <w:p w:rsidR="00821719" w:rsidRPr="007223FB" w:rsidRDefault="00821719" w:rsidP="00821719">
      <w:pPr>
        <w:rPr>
          <w:bCs/>
          <w:iCs/>
        </w:rPr>
      </w:pPr>
      <w:r w:rsidRPr="007223FB">
        <w:rPr>
          <w:bCs/>
          <w:iCs/>
        </w:rPr>
        <w:t>Fuente: Elaboración propia SEGEPLAN con base en datos del SICOIN y SICOINDES, Ejercicio Fiscal 2018</w:t>
      </w:r>
    </w:p>
    <w:p w:rsidR="009A7C91" w:rsidRPr="007223FB" w:rsidRDefault="009A7C91" w:rsidP="000B07D9">
      <w:pPr>
        <w:pStyle w:val="Ttulo2"/>
        <w:numPr>
          <w:ilvl w:val="2"/>
          <w:numId w:val="8"/>
        </w:numPr>
        <w:spacing w:before="120" w:after="120" w:line="240" w:lineRule="auto"/>
        <w:rPr>
          <w:szCs w:val="22"/>
          <w:lang w:val="es-ES"/>
        </w:rPr>
      </w:pPr>
      <w:bookmarkStart w:id="83" w:name="_Toc19527448"/>
      <w:r w:rsidRPr="007223FB">
        <w:rPr>
          <w:szCs w:val="22"/>
          <w:lang w:val="es-ES"/>
        </w:rPr>
        <w:lastRenderedPageBreak/>
        <w:t>Donaciones por fuente cooperante</w:t>
      </w:r>
      <w:bookmarkEnd w:id="83"/>
    </w:p>
    <w:p w:rsidR="00821719" w:rsidRPr="007223FB" w:rsidRDefault="00821719" w:rsidP="00475FEA">
      <w:pPr>
        <w:jc w:val="left"/>
        <w:rPr>
          <w:bCs/>
          <w:iCs/>
          <w:lang w:eastAsia="es-GT"/>
        </w:rPr>
      </w:pPr>
      <w:r w:rsidRPr="007223FB">
        <w:rPr>
          <w:bCs/>
          <w:iCs/>
          <w:lang w:eastAsia="es-GT"/>
        </w:rPr>
        <w:t xml:space="preserve">El presupuesto vigente para donaciones incluye varias fuentes cooperantes, de las cuales cuatro (4) integran el </w:t>
      </w:r>
      <w:r w:rsidRPr="007223FB">
        <w:rPr>
          <w:b/>
          <w:bCs/>
          <w:iCs/>
          <w:lang w:eastAsia="es-GT"/>
        </w:rPr>
        <w:t>75.69%</w:t>
      </w:r>
      <w:r w:rsidRPr="007223FB">
        <w:rPr>
          <w:bCs/>
          <w:iCs/>
          <w:lang w:eastAsia="es-GT"/>
        </w:rPr>
        <w:t xml:space="preserve"> del presupuesto vigente equivalente a </w:t>
      </w:r>
      <w:r w:rsidRPr="007223FB">
        <w:rPr>
          <w:b/>
          <w:bCs/>
          <w:iCs/>
          <w:lang w:eastAsia="es-GT"/>
        </w:rPr>
        <w:t>Q.216.17</w:t>
      </w:r>
      <w:r w:rsidRPr="007223FB">
        <w:rPr>
          <w:bCs/>
          <w:iCs/>
          <w:lang w:eastAsia="es-GT"/>
        </w:rPr>
        <w:t xml:space="preserve"> millones.  En la siguiente gráfica, se muestra el presupuesto asignado al inicio del ejercicio fiscal y el presupuesto vigente al </w:t>
      </w:r>
      <w:r w:rsidRPr="007223FB">
        <w:rPr>
          <w:b/>
          <w:bCs/>
          <w:iCs/>
          <w:lang w:eastAsia="es-GT"/>
        </w:rPr>
        <w:t>31 de agosto de 2019</w:t>
      </w:r>
      <w:r w:rsidR="00C54CFD" w:rsidRPr="007223FB">
        <w:rPr>
          <w:bCs/>
          <w:iCs/>
          <w:lang w:eastAsia="es-GT"/>
        </w:rPr>
        <w:t>.</w:t>
      </w:r>
    </w:p>
    <w:p w:rsidR="00821719" w:rsidRPr="00765ACE" w:rsidRDefault="00001C2C" w:rsidP="00765ACE">
      <w:pPr>
        <w:pStyle w:val="Ttulo5"/>
        <w:numPr>
          <w:ilvl w:val="0"/>
          <w:numId w:val="0"/>
        </w:numPr>
        <w:ind w:left="1008"/>
        <w:rPr>
          <w:rFonts w:ascii="Candara" w:hAnsi="Candara"/>
          <w:b/>
          <w:color w:val="auto"/>
          <w:sz w:val="18"/>
        </w:rPr>
      </w:pPr>
      <w:bookmarkStart w:id="84" w:name="_Toc19527388"/>
      <w:r>
        <w:rPr>
          <w:rFonts w:ascii="Candara" w:hAnsi="Candara"/>
          <w:b/>
          <w:color w:val="auto"/>
          <w:sz w:val="18"/>
        </w:rPr>
        <w:t>Gráfica 5</w:t>
      </w:r>
      <w:r>
        <w:rPr>
          <w:rFonts w:ascii="Candara" w:hAnsi="Candara"/>
          <w:b/>
          <w:color w:val="auto"/>
          <w:sz w:val="18"/>
        </w:rPr>
        <w:br/>
      </w:r>
      <w:r w:rsidR="00821719" w:rsidRPr="00765ACE">
        <w:rPr>
          <w:rFonts w:ascii="Candara" w:hAnsi="Candara"/>
          <w:b/>
          <w:color w:val="auto"/>
          <w:sz w:val="18"/>
        </w:rPr>
        <w:t>Presupuesto de donaciones Asignado Enero versus Vigente Agosto 2019</w:t>
      </w:r>
      <w:r>
        <w:rPr>
          <w:rFonts w:ascii="Candara" w:hAnsi="Candara"/>
          <w:b/>
          <w:color w:val="auto"/>
          <w:sz w:val="18"/>
        </w:rPr>
        <w:br/>
      </w:r>
      <w:r w:rsidR="00821719" w:rsidRPr="00765ACE">
        <w:rPr>
          <w:rFonts w:ascii="Candara" w:hAnsi="Candara"/>
          <w:b/>
          <w:color w:val="auto"/>
          <w:sz w:val="18"/>
        </w:rPr>
        <w:t>Fuente Cooperante</w:t>
      </w:r>
      <w:r>
        <w:rPr>
          <w:rFonts w:ascii="Candara" w:hAnsi="Candara"/>
          <w:b/>
          <w:color w:val="auto"/>
          <w:sz w:val="18"/>
        </w:rPr>
        <w:br/>
      </w:r>
      <w:r w:rsidR="00821719" w:rsidRPr="00765ACE">
        <w:rPr>
          <w:rFonts w:ascii="Candara" w:hAnsi="Candara"/>
          <w:b/>
          <w:color w:val="auto"/>
          <w:sz w:val="18"/>
        </w:rPr>
        <w:t>(Expresado en Millones de Quetzales)</w:t>
      </w:r>
      <w:bookmarkEnd w:id="84"/>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1"/>
        <w:gridCol w:w="4815"/>
      </w:tblGrid>
      <w:tr w:rsidR="00821719" w:rsidRPr="007223FB" w:rsidTr="00821719">
        <w:trPr>
          <w:trHeight w:val="340"/>
          <w:jc w:val="center"/>
        </w:trPr>
        <w:tc>
          <w:tcPr>
            <w:tcW w:w="4531" w:type="dxa"/>
          </w:tcPr>
          <w:p w:rsidR="00821719" w:rsidRPr="007223FB" w:rsidRDefault="00821719" w:rsidP="00821719">
            <w:pPr>
              <w:jc w:val="left"/>
              <w:rPr>
                <w:b/>
                <w:bCs/>
                <w:i/>
                <w:iCs/>
                <w:lang w:eastAsia="es-GT"/>
              </w:rPr>
            </w:pPr>
            <w:r w:rsidRPr="007223FB">
              <w:rPr>
                <w:b/>
                <w:bCs/>
                <w:i/>
                <w:iCs/>
                <w:lang w:eastAsia="es-GT"/>
              </w:rPr>
              <w:t>Asignado</w:t>
            </w:r>
          </w:p>
        </w:tc>
        <w:tc>
          <w:tcPr>
            <w:tcW w:w="4815" w:type="dxa"/>
          </w:tcPr>
          <w:p w:rsidR="00821719" w:rsidRPr="007223FB" w:rsidRDefault="00821719" w:rsidP="00821719">
            <w:pPr>
              <w:jc w:val="left"/>
              <w:rPr>
                <w:b/>
                <w:bCs/>
                <w:i/>
                <w:iCs/>
                <w:lang w:eastAsia="es-GT"/>
              </w:rPr>
            </w:pPr>
            <w:r w:rsidRPr="007223FB">
              <w:rPr>
                <w:b/>
                <w:bCs/>
                <w:i/>
                <w:iCs/>
                <w:lang w:eastAsia="es-GT"/>
              </w:rPr>
              <w:t>Vigente</w:t>
            </w:r>
          </w:p>
        </w:tc>
      </w:tr>
      <w:tr w:rsidR="00821719" w:rsidRPr="007223FB" w:rsidTr="00821719">
        <w:trPr>
          <w:trHeight w:val="340"/>
          <w:jc w:val="center"/>
        </w:trPr>
        <w:tc>
          <w:tcPr>
            <w:tcW w:w="4531" w:type="dxa"/>
          </w:tcPr>
          <w:p w:rsidR="00821719" w:rsidRPr="007223FB" w:rsidRDefault="00821719" w:rsidP="00821719">
            <w:pPr>
              <w:jc w:val="left"/>
              <w:rPr>
                <w:lang w:eastAsia="es-GT"/>
              </w:rPr>
            </w:pPr>
            <w:r w:rsidRPr="007223FB">
              <w:rPr>
                <w:noProof/>
                <w:lang w:eastAsia="es-GT"/>
              </w:rPr>
              <w:drawing>
                <wp:inline distT="0" distB="0" distL="0" distR="0" wp14:anchorId="25FDF709" wp14:editId="1AFAE4F8">
                  <wp:extent cx="3289300" cy="2753833"/>
                  <wp:effectExtent l="0" t="0" r="6350" b="8890"/>
                  <wp:docPr id="21" name="Gráfico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900-0000CA3D8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815" w:type="dxa"/>
          </w:tcPr>
          <w:p w:rsidR="00821719" w:rsidRPr="007223FB" w:rsidRDefault="00821719" w:rsidP="00821719">
            <w:pPr>
              <w:jc w:val="left"/>
              <w:rPr>
                <w:b/>
                <w:bCs/>
                <w:i/>
                <w:iCs/>
                <w:lang w:eastAsia="es-GT"/>
              </w:rPr>
            </w:pPr>
            <w:r w:rsidRPr="007223FB">
              <w:rPr>
                <w:noProof/>
                <w:lang w:eastAsia="es-GT"/>
              </w:rPr>
              <w:drawing>
                <wp:inline distT="0" distB="0" distL="0" distR="0" wp14:anchorId="262EC9A0" wp14:editId="6BF9B632">
                  <wp:extent cx="3838575" cy="2695575"/>
                  <wp:effectExtent l="0" t="0" r="9525" b="9525"/>
                  <wp:docPr id="22" name="Gráfico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900-0000C93D8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3303E4" w:rsidRPr="003303E4" w:rsidRDefault="00821719" w:rsidP="00821719">
      <w:pPr>
        <w:jc w:val="left"/>
        <w:rPr>
          <w:iCs/>
          <w:lang w:eastAsia="es-GT"/>
        </w:rPr>
      </w:pPr>
      <w:r w:rsidRPr="003303E4">
        <w:rPr>
          <w:bCs/>
          <w:iCs/>
          <w:lang w:eastAsia="es-GT"/>
        </w:rPr>
        <w:t>Fuente: Elaboración propia SEGEPLAN con base a datos del Sistema de Contabilidad Integrada –SICOIN y SICOINDES- Ejercicio Fiscal 2019</w:t>
      </w:r>
      <w:r w:rsidRPr="003303E4">
        <w:rPr>
          <w:iCs/>
          <w:lang w:eastAsia="es-GT"/>
        </w:rPr>
        <w:t xml:space="preserve">.  </w:t>
      </w:r>
    </w:p>
    <w:p w:rsidR="00821719" w:rsidRPr="007223FB" w:rsidRDefault="00821719" w:rsidP="00821719">
      <w:pPr>
        <w:jc w:val="left"/>
        <w:rPr>
          <w:iCs/>
          <w:lang w:eastAsia="es-GT"/>
        </w:rPr>
      </w:pPr>
      <w:r w:rsidRPr="007223FB">
        <w:rPr>
          <w:iCs/>
          <w:lang w:eastAsia="es-GT"/>
        </w:rPr>
        <w:t>El presupuesto presentado incluye la asignación por fuente en SICOIN Central y SICOINDES descentralizado y resta el presupuesto de Obligaciones del Estado a Cargo del Tesoro, el cual corresponde a transferencias para que instituciones descentralizadas ejecuten su asignación presupuestaria.  En el título varios, se ha agrupado a las fuentes: BCIE, BIRF, FIDA, JICA, ALEMANIA, ESPAÑA, y SUECIA, debido a que el presupuesto vigente para cada uno de ellos es menor a un valor de 15%.</w:t>
      </w:r>
    </w:p>
    <w:p w:rsidR="00821719" w:rsidRPr="007223FB" w:rsidRDefault="00821719" w:rsidP="00821719">
      <w:pPr>
        <w:jc w:val="left"/>
        <w:rPr>
          <w:bCs/>
          <w:iCs/>
          <w:lang w:eastAsia="es-GT"/>
        </w:rPr>
      </w:pPr>
      <w:r w:rsidRPr="007223FB">
        <w:rPr>
          <w:bCs/>
          <w:iCs/>
          <w:lang w:eastAsia="es-GT"/>
        </w:rPr>
        <w:t xml:space="preserve">La ejecución de las cuatro fuentes cooperantes indicadas alcanza los </w:t>
      </w:r>
      <w:r w:rsidRPr="007223FB">
        <w:rPr>
          <w:b/>
          <w:bCs/>
          <w:iCs/>
          <w:lang w:eastAsia="es-GT"/>
        </w:rPr>
        <w:t xml:space="preserve">Q.41.47 </w:t>
      </w:r>
      <w:r w:rsidRPr="007223FB">
        <w:rPr>
          <w:bCs/>
          <w:iCs/>
          <w:lang w:eastAsia="es-GT"/>
        </w:rPr>
        <w:t>millones; es decir, el</w:t>
      </w:r>
      <w:r w:rsidRPr="007223FB">
        <w:rPr>
          <w:b/>
          <w:bCs/>
          <w:iCs/>
          <w:lang w:eastAsia="es-GT"/>
        </w:rPr>
        <w:t xml:space="preserve"> 75.69%</w:t>
      </w:r>
      <w:r w:rsidRPr="007223FB">
        <w:rPr>
          <w:bCs/>
          <w:iCs/>
          <w:lang w:eastAsia="es-GT"/>
        </w:rPr>
        <w:t xml:space="preserve"> de la ejecución acumulada al </w:t>
      </w:r>
      <w:r w:rsidRPr="007223FB">
        <w:rPr>
          <w:b/>
          <w:bCs/>
          <w:iCs/>
          <w:lang w:eastAsia="es-GT"/>
        </w:rPr>
        <w:t xml:space="preserve">31 de agosto </w:t>
      </w:r>
      <w:r w:rsidRPr="007223FB">
        <w:rPr>
          <w:bCs/>
          <w:iCs/>
          <w:lang w:eastAsia="es-GT"/>
        </w:rPr>
        <w:t>del</w:t>
      </w:r>
      <w:r w:rsidRPr="007223FB">
        <w:rPr>
          <w:b/>
          <w:bCs/>
          <w:iCs/>
          <w:lang w:eastAsia="es-GT"/>
        </w:rPr>
        <w:t xml:space="preserve"> </w:t>
      </w:r>
      <w:r w:rsidRPr="007223FB">
        <w:rPr>
          <w:bCs/>
          <w:iCs/>
          <w:lang w:eastAsia="es-GT"/>
        </w:rPr>
        <w:t>presente año, como se puede apreciar en la gráfica siguiente.</w:t>
      </w:r>
    </w:p>
    <w:p w:rsidR="00001C2C" w:rsidRDefault="00001C2C">
      <w:pPr>
        <w:jc w:val="left"/>
        <w:rPr>
          <w:rFonts w:eastAsiaTheme="majorEastAsia" w:cstheme="majorBidi"/>
          <w:b/>
          <w:caps/>
          <w:spacing w:val="10"/>
          <w:sz w:val="18"/>
          <w:lang w:eastAsia="es-GT"/>
        </w:rPr>
      </w:pPr>
      <w:r>
        <w:rPr>
          <w:b/>
          <w:sz w:val="18"/>
        </w:rPr>
        <w:br w:type="page"/>
      </w:r>
    </w:p>
    <w:p w:rsidR="00821719" w:rsidRPr="00765ACE" w:rsidRDefault="00C54CFD" w:rsidP="00765ACE">
      <w:pPr>
        <w:pStyle w:val="Ttulo5"/>
        <w:numPr>
          <w:ilvl w:val="0"/>
          <w:numId w:val="0"/>
        </w:numPr>
        <w:ind w:left="1008"/>
        <w:rPr>
          <w:rFonts w:ascii="Candara" w:hAnsi="Candara"/>
          <w:b/>
          <w:color w:val="auto"/>
          <w:sz w:val="18"/>
        </w:rPr>
      </w:pPr>
      <w:bookmarkStart w:id="85" w:name="_Toc19527389"/>
      <w:r w:rsidRPr="00765ACE">
        <w:rPr>
          <w:rFonts w:ascii="Candara" w:hAnsi="Candara"/>
          <w:b/>
          <w:color w:val="auto"/>
          <w:sz w:val="18"/>
        </w:rPr>
        <w:lastRenderedPageBreak/>
        <w:t xml:space="preserve">Gráfica </w:t>
      </w:r>
      <w:r w:rsidR="00001C2C">
        <w:rPr>
          <w:rFonts w:ascii="Candara" w:hAnsi="Candara"/>
          <w:b/>
          <w:color w:val="auto"/>
          <w:sz w:val="18"/>
        </w:rPr>
        <w:t>6</w:t>
      </w:r>
      <w:r w:rsidR="00001C2C">
        <w:rPr>
          <w:rFonts w:ascii="Candara" w:hAnsi="Candara"/>
          <w:b/>
          <w:color w:val="auto"/>
          <w:sz w:val="18"/>
        </w:rPr>
        <w:br/>
      </w:r>
      <w:r w:rsidR="00821719" w:rsidRPr="00765ACE">
        <w:rPr>
          <w:rFonts w:ascii="Candara" w:hAnsi="Candara"/>
          <w:b/>
          <w:color w:val="auto"/>
          <w:sz w:val="18"/>
        </w:rPr>
        <w:t>Distribución del presupuesto asignado - vigente - Fuente cooperante</w:t>
      </w:r>
      <w:r w:rsidR="00001C2C">
        <w:rPr>
          <w:rFonts w:ascii="Candara" w:hAnsi="Candara"/>
          <w:b/>
          <w:color w:val="auto"/>
          <w:sz w:val="18"/>
        </w:rPr>
        <w:br/>
      </w:r>
      <w:r w:rsidR="00821719" w:rsidRPr="00765ACE">
        <w:rPr>
          <w:rFonts w:ascii="Candara" w:hAnsi="Candara"/>
          <w:b/>
          <w:color w:val="auto"/>
          <w:sz w:val="18"/>
        </w:rPr>
        <w:t>Enero - Agosto de 2019</w:t>
      </w:r>
      <w:r w:rsidR="00001C2C">
        <w:rPr>
          <w:rFonts w:ascii="Candara" w:hAnsi="Candara"/>
          <w:b/>
          <w:color w:val="auto"/>
          <w:sz w:val="18"/>
        </w:rPr>
        <w:br/>
      </w:r>
      <w:r w:rsidR="00821719" w:rsidRPr="00765ACE">
        <w:rPr>
          <w:rFonts w:ascii="Candara" w:hAnsi="Candara"/>
          <w:b/>
          <w:color w:val="auto"/>
          <w:sz w:val="18"/>
        </w:rPr>
        <w:t>(Expresado en Millones de Quetzales)</w:t>
      </w:r>
      <w:bookmarkEnd w:id="85"/>
    </w:p>
    <w:p w:rsidR="00821719" w:rsidRPr="007223FB" w:rsidRDefault="00821719" w:rsidP="00821719">
      <w:pPr>
        <w:jc w:val="left"/>
        <w:rPr>
          <w:b/>
          <w:bCs/>
          <w:i/>
          <w:iCs/>
          <w:lang w:eastAsia="es-GT"/>
        </w:rPr>
      </w:pPr>
      <w:r w:rsidRPr="007223FB">
        <w:rPr>
          <w:noProof/>
          <w:lang w:eastAsia="es-GT"/>
        </w:rPr>
        <w:drawing>
          <wp:inline distT="0" distB="0" distL="0" distR="0" wp14:anchorId="65CF8968" wp14:editId="65D7548A">
            <wp:extent cx="5941060" cy="2795905"/>
            <wp:effectExtent l="0" t="0" r="2540" b="4445"/>
            <wp:docPr id="23" name="Gráfico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5FEA" w:rsidRPr="00475FEA" w:rsidRDefault="00821719" w:rsidP="00352973">
      <w:pPr>
        <w:rPr>
          <w:iCs/>
          <w:lang w:eastAsia="es-GT"/>
        </w:rPr>
      </w:pPr>
      <w:r w:rsidRPr="00475FEA">
        <w:rPr>
          <w:bCs/>
          <w:iCs/>
          <w:lang w:eastAsia="es-GT"/>
        </w:rPr>
        <w:t>Fuente: Elaboración propia SEGEPLAN con base a datos del Sistema de Contabilidad Integrada –SICOIN y SICOINDES- Ejercicio Fiscal 2019</w:t>
      </w:r>
      <w:r w:rsidRPr="00475FEA">
        <w:rPr>
          <w:iCs/>
          <w:lang w:eastAsia="es-GT"/>
        </w:rPr>
        <w:t xml:space="preserve">.  </w:t>
      </w:r>
    </w:p>
    <w:p w:rsidR="00821719" w:rsidRPr="007223FB" w:rsidRDefault="00821719" w:rsidP="00352973">
      <w:pPr>
        <w:rPr>
          <w:b/>
          <w:bCs/>
          <w:iCs/>
          <w:lang w:eastAsia="es-GT"/>
        </w:rPr>
      </w:pPr>
      <w:r w:rsidRPr="007223FB">
        <w:rPr>
          <w:iCs/>
          <w:lang w:eastAsia="es-GT"/>
        </w:rPr>
        <w:t xml:space="preserve">El presupuesto presentado incluye la asignación por fuente en SICOIN Central y SICOINDES descentralizado y resta el presupuesto de Obligaciones del Estado a Cargo del Tesoro, el cual corresponde a transferencias para que instituciones descentralizadas ejecuten su asignación presupuestaria.  </w:t>
      </w:r>
    </w:p>
    <w:p w:rsidR="00352973" w:rsidRPr="007223FB" w:rsidRDefault="00352973">
      <w:pPr>
        <w:jc w:val="left"/>
        <w:rPr>
          <w:bCs/>
          <w:i/>
          <w:iCs/>
          <w:lang w:eastAsia="es-GT"/>
        </w:rPr>
      </w:pPr>
      <w:r w:rsidRPr="007223FB">
        <w:rPr>
          <w:bCs/>
          <w:i/>
          <w:iCs/>
          <w:lang w:eastAsia="es-GT"/>
        </w:rPr>
        <w:br w:type="page"/>
      </w:r>
    </w:p>
    <w:p w:rsidR="00080194" w:rsidRPr="006F723D" w:rsidRDefault="00080194" w:rsidP="006F723D">
      <w:pPr>
        <w:pStyle w:val="Ttulo1"/>
        <w:shd w:val="clear" w:color="auto" w:fill="BDD6EE" w:themeFill="accent1" w:themeFillTint="66"/>
        <w:rPr>
          <w:rFonts w:eastAsia="Times New Roman"/>
          <w:i w:val="0"/>
          <w:lang w:val="es-ES" w:eastAsia="es-ES"/>
        </w:rPr>
      </w:pPr>
      <w:bookmarkStart w:id="86" w:name="_Toc19527449"/>
      <w:r w:rsidRPr="006F723D">
        <w:rPr>
          <w:rFonts w:eastAsia="Times New Roman"/>
          <w:i w:val="0"/>
          <w:lang w:val="es-ES" w:eastAsia="es-ES"/>
        </w:rPr>
        <w:lastRenderedPageBreak/>
        <w:t>Informe Institucional de Seguimiento de la Calidad del Gasto al cierre del II cuatrimestre</w:t>
      </w:r>
      <w:bookmarkEnd w:id="86"/>
    </w:p>
    <w:p w:rsidR="007866E6" w:rsidRPr="000E557D" w:rsidRDefault="00881D85" w:rsidP="00881D85">
      <w:pPr>
        <w:pStyle w:val="Ttulo2"/>
        <w:numPr>
          <w:ilvl w:val="0"/>
          <w:numId w:val="0"/>
        </w:numPr>
        <w:spacing w:before="120" w:after="120" w:line="240" w:lineRule="auto"/>
        <w:ind w:left="936" w:hanging="576"/>
        <w:rPr>
          <w:szCs w:val="22"/>
          <w:lang w:val="es-ES"/>
        </w:rPr>
      </w:pPr>
      <w:bookmarkStart w:id="87" w:name="_Toc17812384"/>
      <w:bookmarkStart w:id="88" w:name="_Toc17877703"/>
      <w:bookmarkStart w:id="89" w:name="_Toc17878281"/>
      <w:bookmarkStart w:id="90" w:name="_Toc17878417"/>
      <w:bookmarkStart w:id="91" w:name="_Toc17878468"/>
      <w:bookmarkStart w:id="92" w:name="_Toc17882708"/>
      <w:bookmarkStart w:id="93" w:name="_Toc19519209"/>
      <w:bookmarkStart w:id="94" w:name="_Toc19527450"/>
      <w:bookmarkEnd w:id="87"/>
      <w:bookmarkEnd w:id="88"/>
      <w:bookmarkEnd w:id="89"/>
      <w:bookmarkEnd w:id="90"/>
      <w:bookmarkEnd w:id="91"/>
      <w:bookmarkEnd w:id="92"/>
      <w:bookmarkEnd w:id="93"/>
      <w:r>
        <w:rPr>
          <w:szCs w:val="22"/>
          <w:lang w:val="es-ES"/>
        </w:rPr>
        <w:t>5.1</w:t>
      </w:r>
      <w:r>
        <w:rPr>
          <w:szCs w:val="22"/>
          <w:lang w:val="es-ES"/>
        </w:rPr>
        <w:tab/>
      </w:r>
      <w:r w:rsidR="000E557D" w:rsidRPr="000E557D">
        <w:rPr>
          <w:szCs w:val="22"/>
          <w:lang w:val="es-ES"/>
        </w:rPr>
        <w:t>Instituciones</w:t>
      </w:r>
      <w:r w:rsidR="00A77F4A" w:rsidRPr="000E557D">
        <w:rPr>
          <w:szCs w:val="22"/>
          <w:lang w:val="es-ES"/>
        </w:rPr>
        <w:t xml:space="preserve"> Centralizadas</w:t>
      </w:r>
      <w:bookmarkEnd w:id="94"/>
    </w:p>
    <w:p w:rsidR="00A77F4A" w:rsidRPr="00A17383" w:rsidRDefault="000E557D" w:rsidP="00A17383">
      <w:pPr>
        <w:pStyle w:val="Ttulo3"/>
        <w:numPr>
          <w:ilvl w:val="0"/>
          <w:numId w:val="0"/>
        </w:numPr>
        <w:tabs>
          <w:tab w:val="left" w:pos="1985"/>
        </w:tabs>
        <w:ind w:left="1560" w:hanging="709"/>
      </w:pPr>
      <w:bookmarkStart w:id="95" w:name="_Toc19527451"/>
      <w:r w:rsidRPr="00A17383">
        <w:t xml:space="preserve">5.1.1 </w:t>
      </w:r>
      <w:r w:rsidR="00A77F4A" w:rsidRPr="00A17383">
        <w:t>Ministerios</w:t>
      </w:r>
      <w:bookmarkEnd w:id="95"/>
    </w:p>
    <w:p w:rsidR="00A77F4A" w:rsidRPr="007223FB" w:rsidRDefault="00B77E42"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de Agricultura Ganadería y Alimentación</w:t>
      </w:r>
      <w:r w:rsidR="00974505" w:rsidRPr="007223FB">
        <w:rPr>
          <w:b/>
          <w:lang w:val="es-ES" w:eastAsia="es-GT"/>
        </w:rPr>
        <w:t xml:space="preserve"> </w:t>
      </w:r>
      <w:r w:rsidR="00757A23" w:rsidRPr="007223FB">
        <w:rPr>
          <w:b/>
          <w:lang w:val="es-ES" w:eastAsia="es-GT"/>
        </w:rPr>
        <w:t>–</w:t>
      </w:r>
      <w:r w:rsidR="00974505" w:rsidRPr="007223FB">
        <w:rPr>
          <w:b/>
          <w:lang w:val="es-ES" w:eastAsia="es-GT"/>
        </w:rPr>
        <w:t xml:space="preserve"> MAGA</w:t>
      </w:r>
      <w:r w:rsidR="00757A23" w:rsidRPr="007223FB">
        <w:rPr>
          <w:b/>
          <w:lang w:val="es-ES" w:eastAsia="es-GT"/>
        </w:rPr>
        <w:t>-</w:t>
      </w:r>
    </w:p>
    <w:p w:rsidR="00DB33D9" w:rsidRPr="007223FB" w:rsidRDefault="00DB33D9" w:rsidP="00881D85">
      <w:pPr>
        <w:spacing w:before="120" w:after="120" w:line="240" w:lineRule="auto"/>
        <w:rPr>
          <w:bCs/>
          <w:iCs/>
          <w:color w:val="000000" w:themeColor="text1"/>
        </w:rPr>
      </w:pPr>
      <w:r w:rsidRPr="007223FB">
        <w:rPr>
          <w:bCs/>
          <w:iCs/>
          <w:color w:val="000000" w:themeColor="text1"/>
        </w:rPr>
        <w:t xml:space="preserve">En cuanto a los resultados institucionales del MAGA, en el RI </w:t>
      </w:r>
      <w:r w:rsidRPr="007223FB">
        <w:rPr>
          <w:bCs/>
          <w:i/>
          <w:iCs/>
          <w:color w:val="000000" w:themeColor="text1"/>
        </w:rPr>
        <w:t>“Al 2021 al menos 600,000 productores agropecuarios hacen uso adecuado y sostenible de los recursos naturales renovables”</w:t>
      </w:r>
      <w:r w:rsidRPr="007223FB">
        <w:rPr>
          <w:bCs/>
          <w:iCs/>
          <w:color w:val="000000" w:themeColor="text1"/>
        </w:rPr>
        <w:t xml:space="preserve">, se tienen tres productos incorporando Dirección y Coordinación, para el producto </w:t>
      </w:r>
      <w:r w:rsidRPr="007223FB">
        <w:rPr>
          <w:bCs/>
          <w:i/>
          <w:iCs/>
          <w:color w:val="000000" w:themeColor="text1"/>
        </w:rPr>
        <w:t>“Productores (as) agropecuarios y forestales asistidos en el manejo y conservación de recursos naturales”</w:t>
      </w:r>
      <w:r w:rsidR="00182B47" w:rsidRPr="007223FB">
        <w:rPr>
          <w:bCs/>
          <w:iCs/>
          <w:color w:val="000000" w:themeColor="text1"/>
        </w:rPr>
        <w:t xml:space="preserve"> tiene una meta</w:t>
      </w:r>
      <w:r w:rsidRPr="007223FB">
        <w:rPr>
          <w:bCs/>
          <w:iCs/>
          <w:color w:val="000000" w:themeColor="text1"/>
        </w:rPr>
        <w:t xml:space="preserve"> vigente de 8,673 personas, para el segundo cuatrimestre tienen una ejecución física de 6,620 personas equivalente al 76.33% y la ejecución presupuestaria de Q. 3.99 millones; el producto </w:t>
      </w:r>
      <w:r w:rsidRPr="007223FB">
        <w:rPr>
          <w:bCs/>
          <w:i/>
          <w:iCs/>
          <w:color w:val="000000" w:themeColor="text1"/>
        </w:rPr>
        <w:t xml:space="preserve">“Personas con incentivos en apoyo a la reforestación para la protección de fuentes de agua y zonas de recarga hídrica” </w:t>
      </w:r>
      <w:r w:rsidRPr="007223FB">
        <w:rPr>
          <w:bCs/>
          <w:iCs/>
          <w:color w:val="000000" w:themeColor="text1"/>
        </w:rPr>
        <w:t xml:space="preserve">tienen una meta física vigente de 29,045 personas, para el segundo cuatrimestre el avance físico fue de 28,675 personas y la ejecución presupuestaria fue de Q. 48.74 millones equivalente al 100% de lo asignado para el ejercicio fiscal 2019. </w:t>
      </w:r>
    </w:p>
    <w:p w:rsidR="00DB33D9" w:rsidRPr="007223FB" w:rsidRDefault="00DB33D9" w:rsidP="00881D85">
      <w:pPr>
        <w:spacing w:before="120" w:after="120" w:line="240" w:lineRule="auto"/>
        <w:rPr>
          <w:bCs/>
          <w:iCs/>
        </w:rPr>
      </w:pPr>
      <w:r w:rsidRPr="007223FB">
        <w:rPr>
          <w:bCs/>
          <w:iCs/>
        </w:rPr>
        <w:t>En el R2:</w:t>
      </w:r>
      <w:r w:rsidRPr="007223FB">
        <w:rPr>
          <w:bCs/>
          <w:i/>
          <w:iCs/>
        </w:rPr>
        <w:t xml:space="preserve"> “Al 2021 se ha incrementado en 5 por ciento los volúmenes de producción agropecuaria comercializada por los productores excedentarios y comerciales”</w:t>
      </w:r>
      <w:r w:rsidRPr="007223FB">
        <w:rPr>
          <w:bCs/>
          <w:iCs/>
        </w:rPr>
        <w:t xml:space="preserve"> consiste en nueve productos inmerso Dirección y Coordinación su ejecución de metas físicas se representa en el siguiente cuadro, es necesario mencionar que seis de los productos han tenido ejecución física y financiera en el segundo cuatrimestre durante el ejercicio fiscal 2019. </w:t>
      </w:r>
    </w:p>
    <w:p w:rsidR="00DB33D9" w:rsidRPr="00A17383" w:rsidRDefault="00DB33D9" w:rsidP="00A17383">
      <w:pPr>
        <w:pStyle w:val="Ttulo4"/>
        <w:numPr>
          <w:ilvl w:val="0"/>
          <w:numId w:val="0"/>
        </w:numPr>
        <w:ind w:left="864"/>
        <w:rPr>
          <w:rFonts w:ascii="Candara" w:hAnsi="Candara"/>
          <w:b/>
          <w:color w:val="auto"/>
          <w:sz w:val="18"/>
        </w:rPr>
      </w:pPr>
      <w:bookmarkStart w:id="96" w:name="_Toc19524698"/>
      <w:r w:rsidRPr="00A17383">
        <w:rPr>
          <w:rFonts w:ascii="Candara" w:hAnsi="Candara"/>
          <w:b/>
          <w:color w:val="auto"/>
          <w:sz w:val="18"/>
        </w:rPr>
        <w:t xml:space="preserve">Cuadro </w:t>
      </w:r>
      <w:r w:rsidR="00A17383">
        <w:rPr>
          <w:rFonts w:ascii="Candara" w:hAnsi="Candara"/>
          <w:b/>
          <w:color w:val="auto"/>
          <w:sz w:val="18"/>
        </w:rPr>
        <w:t>1</w:t>
      </w:r>
      <w:r w:rsidR="009B30CD">
        <w:rPr>
          <w:rFonts w:ascii="Candara" w:hAnsi="Candara"/>
          <w:b/>
          <w:color w:val="auto"/>
          <w:sz w:val="18"/>
        </w:rPr>
        <w:t>2</w:t>
      </w:r>
      <w:r w:rsidR="00A17383">
        <w:rPr>
          <w:rFonts w:ascii="Candara" w:hAnsi="Candara"/>
          <w:b/>
          <w:color w:val="auto"/>
          <w:sz w:val="18"/>
        </w:rPr>
        <w:br/>
      </w:r>
      <w:r w:rsidRPr="00A17383">
        <w:rPr>
          <w:rFonts w:ascii="Candara" w:hAnsi="Candara"/>
          <w:b/>
          <w:color w:val="auto"/>
          <w:sz w:val="18"/>
        </w:rPr>
        <w:t>Ministerio de Agricultura, Ganadería y Alimentación</w:t>
      </w:r>
      <w:r w:rsidR="00A17383">
        <w:rPr>
          <w:rFonts w:ascii="Candara" w:hAnsi="Candara"/>
          <w:b/>
          <w:color w:val="auto"/>
          <w:sz w:val="18"/>
        </w:rPr>
        <w:br/>
      </w:r>
      <w:r w:rsidRPr="00A17383">
        <w:rPr>
          <w:rFonts w:ascii="Candara" w:hAnsi="Candara"/>
          <w:b/>
          <w:color w:val="auto"/>
          <w:sz w:val="18"/>
        </w:rPr>
        <w:t>Resultado Estratégico, productos y subproductos</w:t>
      </w:r>
      <w:r w:rsidR="00A17383">
        <w:rPr>
          <w:rFonts w:ascii="Candara" w:hAnsi="Candara"/>
          <w:b/>
          <w:color w:val="auto"/>
          <w:sz w:val="18"/>
        </w:rPr>
        <w:br/>
      </w:r>
      <w:r w:rsidRPr="00A17383">
        <w:rPr>
          <w:rFonts w:ascii="Candara" w:hAnsi="Candara"/>
          <w:b/>
          <w:color w:val="auto"/>
          <w:sz w:val="18"/>
        </w:rPr>
        <w:t>Ejercicio Fiscal Segundo  Cuatrimestre 2019</w:t>
      </w:r>
      <w:bookmarkEnd w:id="96"/>
    </w:p>
    <w:tbl>
      <w:tblPr>
        <w:tblStyle w:val="Tabladecuadrcula5oscura-nfasis11"/>
        <w:tblW w:w="10206" w:type="dxa"/>
        <w:tblInd w:w="-572" w:type="dxa"/>
        <w:tblLayout w:type="fixed"/>
        <w:tblLook w:val="04A0" w:firstRow="1" w:lastRow="0" w:firstColumn="1" w:lastColumn="0" w:noHBand="0" w:noVBand="1"/>
      </w:tblPr>
      <w:tblGrid>
        <w:gridCol w:w="1560"/>
        <w:gridCol w:w="1984"/>
        <w:gridCol w:w="851"/>
        <w:gridCol w:w="992"/>
        <w:gridCol w:w="1417"/>
        <w:gridCol w:w="1418"/>
        <w:gridCol w:w="1134"/>
        <w:gridCol w:w="850"/>
      </w:tblGrid>
      <w:tr w:rsidR="00DB33D9" w:rsidRPr="00881D85" w:rsidTr="00881D85">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DB33D9" w:rsidRPr="00881D85" w:rsidRDefault="00DB33D9" w:rsidP="00974505">
            <w:pPr>
              <w:tabs>
                <w:tab w:val="center" w:pos="4362"/>
              </w:tabs>
              <w:jc w:val="center"/>
              <w:rPr>
                <w:rFonts w:eastAsia="Times New Roman" w:cs="Times New Roman"/>
                <w:sz w:val="20"/>
                <w:lang w:eastAsia="es-ES"/>
              </w:rPr>
            </w:pPr>
            <w:r w:rsidRPr="00881D85">
              <w:rPr>
                <w:rFonts w:eastAsia="Times New Roman" w:cs="Times New Roman"/>
                <w:sz w:val="20"/>
                <w:lang w:eastAsia="es-ES"/>
              </w:rPr>
              <w:t>Resultado</w:t>
            </w:r>
          </w:p>
        </w:tc>
        <w:tc>
          <w:tcPr>
            <w:tcW w:w="1984" w:type="dxa"/>
            <w:vMerge w:val="restart"/>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Productos</w:t>
            </w:r>
          </w:p>
        </w:tc>
        <w:tc>
          <w:tcPr>
            <w:tcW w:w="6662" w:type="dxa"/>
            <w:gridSpan w:val="6"/>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Avance físico</w:t>
            </w:r>
          </w:p>
        </w:tc>
      </w:tr>
      <w:tr w:rsidR="00DB33D9" w:rsidRPr="00881D85" w:rsidTr="00881D85">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tabs>
                <w:tab w:val="center" w:pos="4362"/>
              </w:tabs>
              <w:jc w:val="center"/>
              <w:rPr>
                <w:rFonts w:eastAsia="Times New Roman" w:cs="Times New Roman"/>
                <w:sz w:val="20"/>
                <w:lang w:eastAsia="es-ES"/>
              </w:rPr>
            </w:pPr>
          </w:p>
        </w:tc>
        <w:tc>
          <w:tcPr>
            <w:tcW w:w="1984" w:type="dxa"/>
            <w:vMerge/>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p>
        </w:tc>
        <w:tc>
          <w:tcPr>
            <w:tcW w:w="851"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Inicial</w:t>
            </w:r>
          </w:p>
        </w:tc>
        <w:tc>
          <w:tcPr>
            <w:tcW w:w="992"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Vigente</w:t>
            </w:r>
          </w:p>
        </w:tc>
        <w:tc>
          <w:tcPr>
            <w:tcW w:w="1417"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Ejecutado</w:t>
            </w:r>
          </w:p>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1er cuatrimestre</w:t>
            </w:r>
          </w:p>
        </w:tc>
        <w:tc>
          <w:tcPr>
            <w:tcW w:w="1418"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Ejecutado</w:t>
            </w:r>
          </w:p>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2do cuatrimestre</w:t>
            </w:r>
          </w:p>
        </w:tc>
        <w:tc>
          <w:tcPr>
            <w:tcW w:w="1134"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Total Ejecutado</w:t>
            </w:r>
          </w:p>
        </w:tc>
        <w:tc>
          <w:tcPr>
            <w:tcW w:w="850" w:type="dxa"/>
          </w:tcPr>
          <w:p w:rsidR="00DB33D9" w:rsidRPr="00881D85" w:rsidRDefault="00DB33D9" w:rsidP="0097450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 de avance</w:t>
            </w:r>
          </w:p>
        </w:tc>
      </w:tr>
      <w:tr w:rsidR="00DB33D9" w:rsidRPr="00881D85" w:rsidTr="0039137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DB33D9" w:rsidRPr="00881D85" w:rsidRDefault="00DB33D9" w:rsidP="00391378">
            <w:pPr>
              <w:tabs>
                <w:tab w:val="center" w:pos="4362"/>
              </w:tabs>
              <w:jc w:val="left"/>
              <w:rPr>
                <w:rFonts w:eastAsia="Times New Roman" w:cs="Times New Roman"/>
                <w:sz w:val="20"/>
                <w:lang w:eastAsia="es-ES"/>
              </w:rPr>
            </w:pPr>
            <w:r w:rsidRPr="00881D85">
              <w:rPr>
                <w:rFonts w:eastAsia="Times New Roman" w:cs="Times New Roman"/>
                <w:sz w:val="20"/>
                <w:lang w:eastAsia="es-ES"/>
              </w:rPr>
              <w:t>Al 2021 se ha incrementado en 5 por ciento los volúmenes de producción agropecuaria comercializada por los productores excedentarios y comerciales</w:t>
            </w:r>
          </w:p>
        </w:tc>
        <w:tc>
          <w:tcPr>
            <w:tcW w:w="1984" w:type="dxa"/>
          </w:tcPr>
          <w:p w:rsidR="00DB33D9" w:rsidRPr="00881D85" w:rsidRDefault="00DB33D9" w:rsidP="00974505">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Dictámenes, requisitos, registros, certificados, permisos, licencias y protocolos por servicios de sanidad agropecuaria y regulaciones para la protección del patrimonio agropecuario productivo e hidrobiológico</w:t>
            </w:r>
          </w:p>
        </w:tc>
        <w:tc>
          <w:tcPr>
            <w:tcW w:w="851"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20"/>
              </w:rPr>
            </w:pPr>
            <w:r w:rsidRPr="00881D85">
              <w:rPr>
                <w:rFonts w:eastAsia="Calibri" w:cs="Arial"/>
                <w:sz w:val="20"/>
              </w:rPr>
              <w:t>415,637</w:t>
            </w:r>
          </w:p>
        </w:tc>
        <w:tc>
          <w:tcPr>
            <w:tcW w:w="992"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527,030</w:t>
            </w:r>
          </w:p>
        </w:tc>
        <w:tc>
          <w:tcPr>
            <w:tcW w:w="1417"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98,113</w:t>
            </w:r>
          </w:p>
        </w:tc>
        <w:tc>
          <w:tcPr>
            <w:tcW w:w="1418"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193,898</w:t>
            </w:r>
          </w:p>
        </w:tc>
        <w:tc>
          <w:tcPr>
            <w:tcW w:w="1134"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292,011</w:t>
            </w:r>
          </w:p>
        </w:tc>
        <w:tc>
          <w:tcPr>
            <w:tcW w:w="850"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55.41</w:t>
            </w:r>
          </w:p>
        </w:tc>
      </w:tr>
      <w:tr w:rsidR="00DB33D9" w:rsidRPr="00881D85" w:rsidTr="00391378">
        <w:trPr>
          <w:trHeight w:val="132"/>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autoSpaceDE w:val="0"/>
              <w:autoSpaceDN w:val="0"/>
              <w:adjustRightInd w:val="0"/>
              <w:rPr>
                <w:rFonts w:eastAsia="Calibri" w:cs="Courier"/>
                <w:sz w:val="20"/>
              </w:rPr>
            </w:pPr>
          </w:p>
        </w:tc>
        <w:tc>
          <w:tcPr>
            <w:tcW w:w="1984" w:type="dxa"/>
          </w:tcPr>
          <w:p w:rsidR="00DB33D9" w:rsidRPr="00881D85" w:rsidRDefault="00DB33D9" w:rsidP="00974505">
            <w:pPr>
              <w:tabs>
                <w:tab w:val="center" w:pos="4362"/>
              </w:tabs>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 xml:space="preserve">Productores (a) hidrobiológicos capacitados y asistidos técnicamente para el fomento de pesca y </w:t>
            </w:r>
            <w:r w:rsidRPr="00881D85">
              <w:rPr>
                <w:rFonts w:eastAsia="Calibri" w:cs="Arial"/>
                <w:sz w:val="20"/>
              </w:rPr>
              <w:lastRenderedPageBreak/>
              <w:t>acuicultura responsable</w:t>
            </w:r>
          </w:p>
        </w:tc>
        <w:tc>
          <w:tcPr>
            <w:tcW w:w="851"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lastRenderedPageBreak/>
              <w:t>326</w:t>
            </w:r>
          </w:p>
        </w:tc>
        <w:tc>
          <w:tcPr>
            <w:tcW w:w="992"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195</w:t>
            </w:r>
          </w:p>
        </w:tc>
        <w:tc>
          <w:tcPr>
            <w:tcW w:w="1417" w:type="dxa"/>
          </w:tcPr>
          <w:p w:rsidR="00DB33D9" w:rsidRPr="00881D85" w:rsidRDefault="00DB33D9" w:rsidP="0097450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18</w:t>
            </w:r>
          </w:p>
        </w:tc>
        <w:tc>
          <w:tcPr>
            <w:tcW w:w="1418"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177</w:t>
            </w:r>
          </w:p>
        </w:tc>
        <w:tc>
          <w:tcPr>
            <w:tcW w:w="1134"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195</w:t>
            </w:r>
          </w:p>
        </w:tc>
        <w:tc>
          <w:tcPr>
            <w:tcW w:w="850"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100</w:t>
            </w:r>
          </w:p>
        </w:tc>
      </w:tr>
      <w:tr w:rsidR="00DB33D9" w:rsidRPr="00881D85" w:rsidTr="0039137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autoSpaceDE w:val="0"/>
              <w:autoSpaceDN w:val="0"/>
              <w:adjustRightInd w:val="0"/>
              <w:rPr>
                <w:rFonts w:eastAsia="Calibri" w:cs="Courier"/>
                <w:sz w:val="20"/>
              </w:rPr>
            </w:pPr>
          </w:p>
        </w:tc>
        <w:tc>
          <w:tcPr>
            <w:tcW w:w="1984" w:type="dxa"/>
          </w:tcPr>
          <w:p w:rsidR="00DB33D9" w:rsidRPr="00881D85" w:rsidRDefault="00DB33D9" w:rsidP="00974505">
            <w:pPr>
              <w:tabs>
                <w:tab w:val="center" w:pos="4362"/>
              </w:tabs>
              <w:cnfStyle w:val="000000100000" w:firstRow="0" w:lastRow="0" w:firstColumn="0" w:lastColumn="0" w:oddVBand="0" w:evenVBand="0" w:oddHBand="1" w:evenHBand="0" w:firstRowFirstColumn="0" w:firstRowLastColumn="0" w:lastRowFirstColumn="0" w:lastRowLastColumn="0"/>
              <w:rPr>
                <w:rFonts w:eastAsia="Calibri" w:cs="Arial"/>
                <w:sz w:val="20"/>
              </w:rPr>
            </w:pPr>
            <w:r w:rsidRPr="00881D85">
              <w:rPr>
                <w:rFonts w:eastAsia="Calibri" w:cs="Arial"/>
                <w:sz w:val="20"/>
              </w:rPr>
              <w:t>Productores (a) y organizaciones agropecuarias con sistemas de producción y comercialización mejorados</w:t>
            </w:r>
          </w:p>
        </w:tc>
        <w:tc>
          <w:tcPr>
            <w:tcW w:w="851"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20"/>
              </w:rPr>
            </w:pPr>
            <w:r w:rsidRPr="00881D85">
              <w:rPr>
                <w:rFonts w:eastAsia="Calibri" w:cs="Arial"/>
                <w:sz w:val="20"/>
              </w:rPr>
              <w:t>7,747</w:t>
            </w:r>
          </w:p>
        </w:tc>
        <w:tc>
          <w:tcPr>
            <w:tcW w:w="992"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11,088</w:t>
            </w:r>
          </w:p>
        </w:tc>
        <w:tc>
          <w:tcPr>
            <w:tcW w:w="1417" w:type="dxa"/>
          </w:tcPr>
          <w:p w:rsidR="00DB33D9" w:rsidRPr="00881D85" w:rsidRDefault="00DB33D9" w:rsidP="0097450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99</w:t>
            </w:r>
          </w:p>
        </w:tc>
        <w:tc>
          <w:tcPr>
            <w:tcW w:w="1418"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2,864</w:t>
            </w:r>
          </w:p>
        </w:tc>
        <w:tc>
          <w:tcPr>
            <w:tcW w:w="1134"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2,963</w:t>
            </w:r>
          </w:p>
        </w:tc>
        <w:tc>
          <w:tcPr>
            <w:tcW w:w="850"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26.72</w:t>
            </w:r>
          </w:p>
        </w:tc>
      </w:tr>
      <w:tr w:rsidR="00DB33D9" w:rsidRPr="00881D85" w:rsidTr="00391378">
        <w:trPr>
          <w:trHeight w:val="132"/>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autoSpaceDE w:val="0"/>
              <w:autoSpaceDN w:val="0"/>
              <w:adjustRightInd w:val="0"/>
              <w:rPr>
                <w:rFonts w:eastAsia="Calibri" w:cs="Courier"/>
                <w:sz w:val="20"/>
              </w:rPr>
            </w:pPr>
          </w:p>
        </w:tc>
        <w:tc>
          <w:tcPr>
            <w:tcW w:w="1984" w:type="dxa"/>
          </w:tcPr>
          <w:p w:rsidR="00DB33D9" w:rsidRPr="00881D85" w:rsidRDefault="00DB33D9" w:rsidP="00974505">
            <w:pPr>
              <w:tabs>
                <w:tab w:val="center" w:pos="4362"/>
              </w:tabs>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Organizaciones de productores agropecuarios con asistencia financiera para tecnificar sus sistemas productivos</w:t>
            </w:r>
          </w:p>
        </w:tc>
        <w:tc>
          <w:tcPr>
            <w:tcW w:w="851"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20</w:t>
            </w:r>
          </w:p>
        </w:tc>
        <w:tc>
          <w:tcPr>
            <w:tcW w:w="992"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73</w:t>
            </w:r>
          </w:p>
        </w:tc>
        <w:tc>
          <w:tcPr>
            <w:tcW w:w="1417" w:type="dxa"/>
          </w:tcPr>
          <w:p w:rsidR="00DB33D9" w:rsidRPr="00881D85" w:rsidRDefault="00DB33D9" w:rsidP="0097450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11</w:t>
            </w:r>
          </w:p>
        </w:tc>
        <w:tc>
          <w:tcPr>
            <w:tcW w:w="1418"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22</w:t>
            </w:r>
          </w:p>
        </w:tc>
        <w:tc>
          <w:tcPr>
            <w:tcW w:w="1134"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33</w:t>
            </w:r>
          </w:p>
        </w:tc>
        <w:tc>
          <w:tcPr>
            <w:tcW w:w="850"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45.83</w:t>
            </w:r>
          </w:p>
        </w:tc>
      </w:tr>
      <w:tr w:rsidR="00DB33D9" w:rsidRPr="00881D85" w:rsidTr="0039137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tabs>
                <w:tab w:val="center" w:pos="4362"/>
              </w:tabs>
              <w:rPr>
                <w:rFonts w:eastAsia="Times New Roman" w:cs="Times New Roman"/>
                <w:sz w:val="20"/>
                <w:lang w:eastAsia="es-ES"/>
              </w:rPr>
            </w:pPr>
          </w:p>
        </w:tc>
        <w:tc>
          <w:tcPr>
            <w:tcW w:w="1984" w:type="dxa"/>
          </w:tcPr>
          <w:p w:rsidR="00DB33D9" w:rsidRPr="00881D85" w:rsidRDefault="00DB33D9" w:rsidP="00974505">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 xml:space="preserve">Agricultores (as) con áreas incorporadas a sistemas de riego o </w:t>
            </w:r>
            <w:r w:rsidR="0090643A" w:rsidRPr="00881D85">
              <w:rPr>
                <w:rFonts w:eastAsia="Times New Roman" w:cs="Times New Roman"/>
                <w:sz w:val="20"/>
                <w:lang w:eastAsia="es-ES"/>
              </w:rPr>
              <w:t>mini riego</w:t>
            </w:r>
          </w:p>
        </w:tc>
        <w:tc>
          <w:tcPr>
            <w:tcW w:w="851"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20"/>
              </w:rPr>
            </w:pPr>
            <w:r w:rsidRPr="00881D85">
              <w:rPr>
                <w:rFonts w:eastAsia="Calibri" w:cs="Arial"/>
                <w:sz w:val="20"/>
              </w:rPr>
              <w:t>230</w:t>
            </w:r>
          </w:p>
        </w:tc>
        <w:tc>
          <w:tcPr>
            <w:tcW w:w="992"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935</w:t>
            </w:r>
          </w:p>
        </w:tc>
        <w:tc>
          <w:tcPr>
            <w:tcW w:w="1417"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35</w:t>
            </w:r>
          </w:p>
        </w:tc>
        <w:tc>
          <w:tcPr>
            <w:tcW w:w="1418"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97</w:t>
            </w:r>
          </w:p>
        </w:tc>
        <w:tc>
          <w:tcPr>
            <w:tcW w:w="1134"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132</w:t>
            </w:r>
          </w:p>
        </w:tc>
        <w:tc>
          <w:tcPr>
            <w:tcW w:w="850" w:type="dxa"/>
          </w:tcPr>
          <w:p w:rsidR="00DB33D9" w:rsidRPr="00881D85" w:rsidRDefault="00DB33D9" w:rsidP="0097450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14.11</w:t>
            </w:r>
          </w:p>
        </w:tc>
      </w:tr>
      <w:tr w:rsidR="00DB33D9" w:rsidRPr="00881D85" w:rsidTr="00391378">
        <w:trPr>
          <w:trHeight w:val="132"/>
        </w:trPr>
        <w:tc>
          <w:tcPr>
            <w:cnfStyle w:val="001000000000" w:firstRow="0" w:lastRow="0" w:firstColumn="1" w:lastColumn="0" w:oddVBand="0" w:evenVBand="0" w:oddHBand="0" w:evenHBand="0" w:firstRowFirstColumn="0" w:firstRowLastColumn="0" w:lastRowFirstColumn="0" w:lastRowLastColumn="0"/>
            <w:tcW w:w="1560" w:type="dxa"/>
            <w:vMerge/>
          </w:tcPr>
          <w:p w:rsidR="00DB33D9" w:rsidRPr="00881D85" w:rsidRDefault="00DB33D9" w:rsidP="00974505">
            <w:pPr>
              <w:tabs>
                <w:tab w:val="center" w:pos="4362"/>
              </w:tabs>
              <w:rPr>
                <w:rFonts w:eastAsia="Times New Roman" w:cs="Times New Roman"/>
                <w:sz w:val="20"/>
                <w:lang w:eastAsia="es-ES"/>
              </w:rPr>
            </w:pPr>
          </w:p>
        </w:tc>
        <w:tc>
          <w:tcPr>
            <w:tcW w:w="1984" w:type="dxa"/>
          </w:tcPr>
          <w:p w:rsidR="00DB33D9" w:rsidRPr="00881D85" w:rsidRDefault="00DB33D9" w:rsidP="00974505">
            <w:pPr>
              <w:tabs>
                <w:tab w:val="center" w:pos="4362"/>
              </w:tabs>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Caficultores (as) apoyados con financiamiento para</w:t>
            </w:r>
          </w:p>
          <w:p w:rsidR="00DB33D9" w:rsidRPr="00881D85" w:rsidRDefault="00DB33D9" w:rsidP="00974505">
            <w:pPr>
              <w:tabs>
                <w:tab w:val="center" w:pos="4362"/>
              </w:tabs>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incrementar su producción</w:t>
            </w:r>
          </w:p>
        </w:tc>
        <w:tc>
          <w:tcPr>
            <w:tcW w:w="851"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20"/>
              </w:rPr>
            </w:pPr>
            <w:r w:rsidRPr="00881D85">
              <w:rPr>
                <w:rFonts w:eastAsia="Calibri" w:cs="Arial"/>
                <w:sz w:val="20"/>
              </w:rPr>
              <w:t>25</w:t>
            </w:r>
          </w:p>
        </w:tc>
        <w:tc>
          <w:tcPr>
            <w:tcW w:w="992"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25</w:t>
            </w:r>
          </w:p>
        </w:tc>
        <w:tc>
          <w:tcPr>
            <w:tcW w:w="1417" w:type="dxa"/>
          </w:tcPr>
          <w:p w:rsidR="00DB33D9" w:rsidRPr="00881D85" w:rsidRDefault="00DB33D9" w:rsidP="0097450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0</w:t>
            </w:r>
          </w:p>
        </w:tc>
        <w:tc>
          <w:tcPr>
            <w:tcW w:w="1418"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7</w:t>
            </w:r>
          </w:p>
        </w:tc>
        <w:tc>
          <w:tcPr>
            <w:tcW w:w="1134"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7</w:t>
            </w:r>
          </w:p>
        </w:tc>
        <w:tc>
          <w:tcPr>
            <w:tcW w:w="850" w:type="dxa"/>
          </w:tcPr>
          <w:p w:rsidR="00DB33D9" w:rsidRPr="00881D85" w:rsidRDefault="00DB33D9" w:rsidP="0097450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881D85">
              <w:rPr>
                <w:rFonts w:eastAsia="Times New Roman" w:cs="Times New Roman"/>
                <w:sz w:val="20"/>
                <w:lang w:eastAsia="es-ES"/>
              </w:rPr>
              <w:t>28</w:t>
            </w:r>
          </w:p>
        </w:tc>
      </w:tr>
    </w:tbl>
    <w:p w:rsidR="00DB33D9" w:rsidRPr="007223FB" w:rsidRDefault="007D5B71" w:rsidP="00DB33D9">
      <w:pPr>
        <w:rPr>
          <w:b/>
          <w:lang w:val="es-ES" w:eastAsia="es-ES"/>
        </w:rPr>
      </w:pPr>
      <w:r w:rsidRPr="007223FB">
        <w:rPr>
          <w:bCs/>
          <w:iCs/>
          <w:color w:val="000000" w:themeColor="text1"/>
        </w:rPr>
        <w:t>Fuente: Elaboración SEGEPLAN</w:t>
      </w:r>
      <w:r w:rsidR="00DB33D9" w:rsidRPr="007223FB">
        <w:rPr>
          <w:bCs/>
          <w:iCs/>
          <w:color w:val="000000" w:themeColor="text1"/>
        </w:rPr>
        <w:t xml:space="preserve"> con datos de SICOIN al 05/09/2019</w:t>
      </w:r>
    </w:p>
    <w:p w:rsidR="00DB33D9" w:rsidRPr="007223FB" w:rsidRDefault="00DB33D9" w:rsidP="00881D85">
      <w:pPr>
        <w:spacing w:before="120" w:after="120" w:line="240" w:lineRule="auto"/>
        <w:rPr>
          <w:bCs/>
          <w:iCs/>
        </w:rPr>
      </w:pPr>
      <w:r w:rsidRPr="007223FB">
        <w:rPr>
          <w:bCs/>
          <w:iCs/>
        </w:rPr>
        <w:t xml:space="preserve">El MAGA presenta un desafío para darle cumplimiento a su RI, ya que la ejecución física es baja para el segundo cuatrimestre en tres productos su ejecución no supera el 30% de la ejecución física y dos no presentan ejecución.  </w:t>
      </w:r>
    </w:p>
    <w:p w:rsidR="00DB33D9" w:rsidRPr="007223FB" w:rsidRDefault="00DB33D9" w:rsidP="00881D85">
      <w:pPr>
        <w:spacing w:before="120" w:after="120" w:line="240" w:lineRule="auto"/>
        <w:rPr>
          <w:bCs/>
          <w:iCs/>
        </w:rPr>
      </w:pPr>
      <w:r w:rsidRPr="007223FB">
        <w:rPr>
          <w:bCs/>
          <w:iCs/>
        </w:rPr>
        <w:t xml:space="preserve">Para el cumplimiento con la Ley Protección y Bienestar Animal MAGA, establece un producto </w:t>
      </w:r>
      <w:r w:rsidRPr="007223FB">
        <w:rPr>
          <w:bCs/>
          <w:i/>
          <w:iCs/>
        </w:rPr>
        <w:t>“Animales protegidos contra el abuso y maltrato”</w:t>
      </w:r>
      <w:r w:rsidRPr="007223FB">
        <w:rPr>
          <w:bCs/>
          <w:iCs/>
        </w:rPr>
        <w:t xml:space="preserve"> se tiene una meta inicial de 3,830 animales, teniendo una reducción para tener una meta vigente de 115 animales, para el segundo cuatrimestre la ejecución física fue de atención 50 animales equivalente al 43.48% y una ejecución presupuestaria de Q. 0.12 millones. </w:t>
      </w:r>
    </w:p>
    <w:p w:rsidR="00DB33D9" w:rsidRPr="007223FB" w:rsidRDefault="00DB33D9" w:rsidP="00881D85">
      <w:pPr>
        <w:autoSpaceDE w:val="0"/>
        <w:autoSpaceDN w:val="0"/>
        <w:adjustRightInd w:val="0"/>
        <w:spacing w:before="120" w:after="120" w:line="240" w:lineRule="auto"/>
        <w:rPr>
          <w:rFonts w:cs="Candara"/>
        </w:rPr>
      </w:pPr>
      <w:r w:rsidRPr="007223FB">
        <w:rPr>
          <w:rFonts w:cs="Candara"/>
        </w:rPr>
        <w:t>Para el ejercicio fiscal 2019 al MAGA le fue asignado un presupuesto de Q.1</w:t>
      </w:r>
      <w:r w:rsidR="00974505" w:rsidRPr="007223FB">
        <w:rPr>
          <w:rFonts w:cs="Candara"/>
        </w:rPr>
        <w:t>, 365.4</w:t>
      </w:r>
      <w:r w:rsidRPr="007223FB">
        <w:rPr>
          <w:rFonts w:cs="Candara"/>
        </w:rPr>
        <w:t xml:space="preserve"> millones, teniendo un incremento de Q. Q.17.0 millones para un vigente de Q. 1,382.4 millones, en el segundo cuatrimestre la ejecución fue de Q. 501.09 millones equivalente a un 36.25%, para una ejecución acumulada de enero a agosto de Q. 761.28 millones. </w:t>
      </w:r>
    </w:p>
    <w:p w:rsidR="00881D85" w:rsidRDefault="00881D85">
      <w:pPr>
        <w:jc w:val="left"/>
        <w:rPr>
          <w:rFonts w:cs="Candara"/>
          <w:b/>
        </w:rPr>
      </w:pPr>
      <w:r>
        <w:rPr>
          <w:rFonts w:cs="Candara"/>
          <w:b/>
        </w:rPr>
        <w:br w:type="page"/>
      </w:r>
    </w:p>
    <w:p w:rsidR="00DB33D9" w:rsidRPr="00765ACE" w:rsidRDefault="00DB33D9" w:rsidP="00765ACE">
      <w:pPr>
        <w:pStyle w:val="Ttulo5"/>
        <w:numPr>
          <w:ilvl w:val="0"/>
          <w:numId w:val="0"/>
        </w:numPr>
        <w:ind w:left="1008"/>
        <w:rPr>
          <w:rFonts w:ascii="Candara" w:hAnsi="Candara"/>
          <w:b/>
          <w:color w:val="auto"/>
          <w:sz w:val="18"/>
        </w:rPr>
      </w:pPr>
      <w:bookmarkStart w:id="97" w:name="_Toc19527390"/>
      <w:r w:rsidRPr="00765ACE">
        <w:rPr>
          <w:rFonts w:ascii="Candara" w:hAnsi="Candara"/>
          <w:b/>
          <w:color w:val="auto"/>
          <w:sz w:val="18"/>
        </w:rPr>
        <w:lastRenderedPageBreak/>
        <w:t xml:space="preserve">Gráfica </w:t>
      </w:r>
      <w:r w:rsidR="00E36F2D">
        <w:rPr>
          <w:rFonts w:ascii="Candara" w:hAnsi="Candara"/>
          <w:b/>
          <w:color w:val="auto"/>
          <w:sz w:val="18"/>
        </w:rPr>
        <w:t>7</w:t>
      </w:r>
      <w:r w:rsidR="00E36F2D">
        <w:rPr>
          <w:rFonts w:ascii="Candara" w:hAnsi="Candara"/>
          <w:b/>
          <w:color w:val="auto"/>
          <w:sz w:val="18"/>
        </w:rPr>
        <w:br/>
      </w:r>
      <w:r w:rsidRPr="00765ACE">
        <w:rPr>
          <w:rFonts w:ascii="Candara" w:hAnsi="Candara"/>
          <w:b/>
          <w:color w:val="auto"/>
          <w:sz w:val="18"/>
        </w:rPr>
        <w:t>Ejecución Presupuestaria del Ministerio de Agricultura Ganadería y</w:t>
      </w:r>
      <w:r w:rsidR="00E36F2D">
        <w:rPr>
          <w:rFonts w:ascii="Candara" w:hAnsi="Candara"/>
          <w:b/>
          <w:color w:val="auto"/>
          <w:sz w:val="18"/>
        </w:rPr>
        <w:br/>
      </w:r>
      <w:r w:rsidRPr="00765ACE">
        <w:rPr>
          <w:rFonts w:ascii="Candara" w:hAnsi="Candara"/>
          <w:b/>
          <w:color w:val="auto"/>
          <w:sz w:val="18"/>
        </w:rPr>
        <w:t>Alimentación</w:t>
      </w:r>
      <w:r w:rsidR="00E36F2D">
        <w:rPr>
          <w:rFonts w:ascii="Candara" w:hAnsi="Candara"/>
          <w:b/>
          <w:color w:val="auto"/>
          <w:sz w:val="18"/>
        </w:rPr>
        <w:br/>
      </w:r>
      <w:r w:rsidRPr="00765ACE">
        <w:rPr>
          <w:rFonts w:ascii="Candara" w:hAnsi="Candara"/>
          <w:b/>
          <w:color w:val="auto"/>
          <w:sz w:val="18"/>
        </w:rPr>
        <w:t>Segundo cuatrimestre Ejercicio Fiscal 2019</w:t>
      </w:r>
      <w:r w:rsidR="00E36F2D">
        <w:rPr>
          <w:rFonts w:ascii="Candara" w:hAnsi="Candara"/>
          <w:b/>
          <w:color w:val="auto"/>
          <w:sz w:val="18"/>
        </w:rPr>
        <w:br/>
      </w:r>
      <w:r w:rsidRPr="00765ACE">
        <w:rPr>
          <w:rFonts w:ascii="Candara" w:hAnsi="Candara"/>
          <w:b/>
          <w:color w:val="auto"/>
          <w:sz w:val="18"/>
        </w:rPr>
        <w:t>En Millones de Q</w:t>
      </w:r>
      <w:bookmarkEnd w:id="97"/>
    </w:p>
    <w:p w:rsidR="00DB33D9" w:rsidRPr="007223FB" w:rsidRDefault="00DB33D9" w:rsidP="00DB33D9">
      <w:pPr>
        <w:spacing w:after="0" w:line="276" w:lineRule="auto"/>
        <w:jc w:val="center"/>
        <w:rPr>
          <w:bCs/>
          <w:iCs/>
          <w:noProof/>
          <w:lang w:eastAsia="es-GT"/>
        </w:rPr>
      </w:pPr>
      <w:r w:rsidRPr="007223FB">
        <w:rPr>
          <w:bCs/>
          <w:iCs/>
          <w:noProof/>
          <w:lang w:eastAsia="es-GT"/>
        </w:rPr>
        <w:drawing>
          <wp:inline distT="0" distB="0" distL="0" distR="0" wp14:anchorId="02892876" wp14:editId="62E1E2B3">
            <wp:extent cx="4822190" cy="295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2190" cy="2956560"/>
                    </a:xfrm>
                    <a:prstGeom prst="rect">
                      <a:avLst/>
                    </a:prstGeom>
                    <a:noFill/>
                  </pic:spPr>
                </pic:pic>
              </a:graphicData>
            </a:graphic>
          </wp:inline>
        </w:drawing>
      </w:r>
    </w:p>
    <w:p w:rsidR="00DB33D9" w:rsidRPr="007223FB" w:rsidRDefault="007D5B71" w:rsidP="00DB33D9">
      <w:pPr>
        <w:spacing w:after="0" w:line="276" w:lineRule="auto"/>
        <w:jc w:val="center"/>
        <w:rPr>
          <w:rFonts w:eastAsia="Calibri" w:cs="Candara"/>
          <w:lang w:eastAsia="es-GT"/>
        </w:rPr>
      </w:pPr>
      <w:r w:rsidRPr="007223FB">
        <w:rPr>
          <w:rFonts w:eastAsia="Calibri" w:cs="Candara"/>
          <w:lang w:eastAsia="es-GT"/>
        </w:rPr>
        <w:t>Fuente: Elaboración SEGEPLAN</w:t>
      </w:r>
      <w:r w:rsidR="00AC3077" w:rsidRPr="007223FB">
        <w:rPr>
          <w:rFonts w:eastAsia="Calibri" w:cs="Candara"/>
          <w:lang w:eastAsia="es-GT"/>
        </w:rPr>
        <w:t xml:space="preserve"> con base en consulta SICOIN</w:t>
      </w:r>
      <w:r w:rsidR="00DB33D9" w:rsidRPr="007223FB">
        <w:rPr>
          <w:rFonts w:eastAsia="Calibri" w:cs="Candara"/>
          <w:lang w:eastAsia="es-GT"/>
        </w:rPr>
        <w:t xml:space="preserve"> del 06/09/2019.</w:t>
      </w:r>
    </w:p>
    <w:p w:rsidR="00974505" w:rsidRPr="007223FB" w:rsidRDefault="00626643" w:rsidP="000B07D9">
      <w:pPr>
        <w:pStyle w:val="Prrafodelista"/>
        <w:numPr>
          <w:ilvl w:val="0"/>
          <w:numId w:val="5"/>
        </w:numPr>
        <w:spacing w:before="120" w:after="120" w:line="240" w:lineRule="auto"/>
        <w:rPr>
          <w:lang w:val="es-ES" w:eastAsia="es-GT"/>
        </w:rPr>
      </w:pPr>
      <w:r w:rsidRPr="007223FB">
        <w:rPr>
          <w:b/>
          <w:lang w:val="es-ES" w:eastAsia="es-GT"/>
        </w:rPr>
        <w:t>Ministerio de Ambiente y Recursos Naturales –MARN</w:t>
      </w:r>
      <w:r w:rsidRPr="007223FB">
        <w:rPr>
          <w:lang w:val="es-ES" w:eastAsia="es-GT"/>
        </w:rPr>
        <w:t xml:space="preserve">- </w:t>
      </w:r>
    </w:p>
    <w:p w:rsidR="00626643" w:rsidRPr="007223FB" w:rsidRDefault="00974505" w:rsidP="00881D85">
      <w:pPr>
        <w:spacing w:before="120" w:after="120" w:line="240" w:lineRule="auto"/>
        <w:rPr>
          <w:lang w:eastAsia="es-GT"/>
        </w:rPr>
      </w:pPr>
      <w:r w:rsidRPr="007223FB">
        <w:rPr>
          <w:lang w:val="es-ES" w:eastAsia="es-GT"/>
        </w:rPr>
        <w:t xml:space="preserve">El MARN </w:t>
      </w:r>
      <w:r w:rsidR="00626643" w:rsidRPr="007223FB">
        <w:rPr>
          <w:lang w:val="es-ES" w:eastAsia="es-GT"/>
        </w:rPr>
        <w:t>además de su contribución al Resultado Estratégico de País</w:t>
      </w:r>
      <w:r w:rsidR="00626643" w:rsidRPr="007223FB">
        <w:rPr>
          <w:lang w:eastAsia="es-GT"/>
        </w:rPr>
        <w:t xml:space="preserve"> del incremento a la capacidad de resiliencia y adaptación al cambio climático; en su calidad de rector del sector ambiente en el país, resume su quehacer para el 2019 en dos Resultados Institucionales –RI- de la siguiente forma: RI1 “Para el 2021 se ha incrementado la participación púbica a nivel nacional” y RI2 “Para el 2021 se han incrementado los controles ambientales para prevenir el deterioro del ambiente y los recursos naturales a nivel nacional”. </w:t>
      </w:r>
    </w:p>
    <w:p w:rsidR="00626643" w:rsidRPr="007223FB" w:rsidRDefault="00626643" w:rsidP="00881D85">
      <w:pPr>
        <w:spacing w:before="120" w:after="120" w:line="240" w:lineRule="auto"/>
        <w:rPr>
          <w:lang w:eastAsia="es-GT"/>
        </w:rPr>
      </w:pPr>
      <w:r w:rsidRPr="007223FB">
        <w:rPr>
          <w:lang w:eastAsia="es-GT"/>
        </w:rPr>
        <w:t xml:space="preserve">Para el RI1 “Participación pública a nivel nacional”, destaca el producto denominado “Personas capacitadas y sensibilizadas en temas de responsabilidad socio ambiental” con un avance financiero al segundo cuatrimestre de 83.23% (Q. 4.59 millones) y un avance físico de 73.49% equivalentes en capacitar a 49,806 personas; sin embargo este producto sufrió un decremento de 55.28% en reprogramar su meta física inicial de 151,562 personas, lo que impacta negativamente en el cumplimiento de la meta, así como la calidad del producto se ve afectada ya que la asignación presupuestaria sufrió también un decremento de 46.03%. </w:t>
      </w:r>
    </w:p>
    <w:p w:rsidR="00626643" w:rsidRPr="007223FB" w:rsidRDefault="00626643" w:rsidP="00881D85">
      <w:pPr>
        <w:spacing w:before="120" w:after="120" w:line="240" w:lineRule="auto"/>
        <w:rPr>
          <w:lang w:eastAsia="es-GT"/>
        </w:rPr>
      </w:pPr>
      <w:r w:rsidRPr="007223FB">
        <w:rPr>
          <w:lang w:eastAsia="es-GT"/>
        </w:rPr>
        <w:t xml:space="preserve">Para el RI2 </w:t>
      </w:r>
      <w:r w:rsidRPr="007223FB">
        <w:rPr>
          <w:i/>
          <w:lang w:eastAsia="es-GT"/>
        </w:rPr>
        <w:t xml:space="preserve">de Incremento de controles ambientales, </w:t>
      </w:r>
      <w:r w:rsidRPr="007223FB">
        <w:rPr>
          <w:lang w:eastAsia="es-GT"/>
        </w:rPr>
        <w:t xml:space="preserve">tanto el producto denominado </w:t>
      </w:r>
      <w:r w:rsidRPr="007223FB">
        <w:rPr>
          <w:i/>
          <w:lang w:eastAsia="es-GT"/>
        </w:rPr>
        <w:t>“Asesoría técnica en la recolección de residuos y desechos sólidos en fuentes de agua para contribuir al saneamiento hídrico en la población”</w:t>
      </w:r>
      <w:r w:rsidRPr="007223FB">
        <w:rPr>
          <w:lang w:eastAsia="es-GT"/>
        </w:rPr>
        <w:t xml:space="preserve"> como el producto “informes técnicos de control sobre la contaminación hídrica, prevención y la contaminación de ecosistemas, desertificación y sequía dirigidos a la población en general” presentan un alarmante decremento del 90.10% y 70.31% respectivamente, lo que se traduce en que no se cumplirán con las metas establecidas y a su vez, no se intervienen las problemáticas de disminución de contaminación, las cuales tienen una importancia alta en la entrega de bienes y servicios que les corresponden al MARN. </w:t>
      </w:r>
    </w:p>
    <w:p w:rsidR="00626643" w:rsidRPr="007223FB" w:rsidRDefault="00626643" w:rsidP="00881D85">
      <w:pPr>
        <w:spacing w:before="120" w:after="120" w:line="240" w:lineRule="auto"/>
        <w:rPr>
          <w:lang w:eastAsia="es-GT"/>
        </w:rPr>
      </w:pPr>
      <w:r w:rsidRPr="007223FB">
        <w:rPr>
          <w:lang w:eastAsia="es-GT"/>
        </w:rPr>
        <w:lastRenderedPageBreak/>
        <w:t xml:space="preserve">La asignación presupuestaria inicial del MARN para el 2019 ha sido de Q. 127.28 millones, la cual sufrió un incremento de Q. 62.84 millones, lo que representa un presupuesto vigente al segundo cuatrimestre de Q. 190.13 millones. En el segundo cuatrimestre el MARN ejecutó Q. 56.76 millones que equivale a un 29.86% de ejecución, teniendo una brecha de ejecución financiera para el último cuatrimestre de más de Q 100 millones, como se puede observar en la gráfica siguiente. </w:t>
      </w:r>
    </w:p>
    <w:p w:rsidR="00626643" w:rsidRPr="00765ACE" w:rsidRDefault="00626643" w:rsidP="00765ACE">
      <w:pPr>
        <w:pStyle w:val="Ttulo5"/>
        <w:numPr>
          <w:ilvl w:val="0"/>
          <w:numId w:val="0"/>
        </w:numPr>
        <w:ind w:left="1008"/>
        <w:rPr>
          <w:rFonts w:ascii="Candara" w:hAnsi="Candara"/>
          <w:b/>
          <w:color w:val="auto"/>
          <w:sz w:val="18"/>
        </w:rPr>
      </w:pPr>
      <w:bookmarkStart w:id="98" w:name="_Toc19527391"/>
      <w:r w:rsidRPr="00765ACE">
        <w:rPr>
          <w:rFonts w:ascii="Candara" w:hAnsi="Candara"/>
          <w:b/>
          <w:color w:val="auto"/>
          <w:sz w:val="18"/>
        </w:rPr>
        <w:t xml:space="preserve">Gráfica </w:t>
      </w:r>
      <w:r w:rsidR="00D4642F">
        <w:rPr>
          <w:rFonts w:ascii="Candara" w:hAnsi="Candara"/>
          <w:b/>
          <w:color w:val="auto"/>
          <w:sz w:val="18"/>
        </w:rPr>
        <w:t>8</w:t>
      </w:r>
      <w:r w:rsidR="00D4642F">
        <w:rPr>
          <w:rFonts w:ascii="Candara" w:hAnsi="Candara"/>
          <w:b/>
          <w:color w:val="auto"/>
          <w:sz w:val="18"/>
        </w:rPr>
        <w:br/>
      </w:r>
      <w:r w:rsidRPr="00765ACE">
        <w:rPr>
          <w:rFonts w:ascii="Candara" w:hAnsi="Candara"/>
          <w:b/>
          <w:color w:val="auto"/>
          <w:sz w:val="18"/>
        </w:rPr>
        <w:t>Ejecución presupuestaria</w:t>
      </w:r>
      <w:r w:rsidR="00D4642F">
        <w:rPr>
          <w:rFonts w:ascii="Candara" w:hAnsi="Candara"/>
          <w:b/>
          <w:color w:val="auto"/>
          <w:sz w:val="18"/>
        </w:rPr>
        <w:br/>
      </w:r>
      <w:r w:rsidRPr="00765ACE">
        <w:rPr>
          <w:rFonts w:ascii="Candara" w:hAnsi="Candara"/>
          <w:b/>
          <w:color w:val="auto"/>
          <w:sz w:val="18"/>
        </w:rPr>
        <w:t>Ministerio de Ambiente y Recursos Naturales</w:t>
      </w:r>
      <w:r w:rsidR="00D4642F">
        <w:rPr>
          <w:rFonts w:ascii="Candara" w:hAnsi="Candara"/>
          <w:b/>
          <w:color w:val="auto"/>
          <w:sz w:val="18"/>
        </w:rPr>
        <w:br/>
      </w:r>
      <w:r w:rsidRPr="00765ACE">
        <w:rPr>
          <w:rFonts w:ascii="Candara" w:hAnsi="Candara"/>
          <w:b/>
          <w:color w:val="auto"/>
          <w:sz w:val="18"/>
        </w:rPr>
        <w:t>Ejercicio Fiscal 2do Cuatrimestre 2019</w:t>
      </w:r>
      <w:r w:rsidR="00D4642F">
        <w:rPr>
          <w:rFonts w:ascii="Candara" w:hAnsi="Candara"/>
          <w:b/>
          <w:color w:val="auto"/>
          <w:sz w:val="18"/>
        </w:rPr>
        <w:br/>
      </w:r>
      <w:r w:rsidRPr="00765ACE">
        <w:rPr>
          <w:rFonts w:ascii="Candara" w:hAnsi="Candara"/>
          <w:b/>
          <w:color w:val="auto"/>
          <w:sz w:val="18"/>
        </w:rPr>
        <w:t>En millones de Q</w:t>
      </w:r>
      <w:bookmarkEnd w:id="98"/>
    </w:p>
    <w:p w:rsidR="00626643" w:rsidRPr="007223FB" w:rsidRDefault="00626643" w:rsidP="00626643">
      <w:pPr>
        <w:jc w:val="center"/>
      </w:pPr>
      <w:r w:rsidRPr="007223FB">
        <w:rPr>
          <w:noProof/>
          <w:lang w:eastAsia="es-GT"/>
        </w:rPr>
        <w:drawing>
          <wp:anchor distT="0" distB="0" distL="114300" distR="114300" simplePos="0" relativeHeight="251655168" behindDoc="1" locked="0" layoutInCell="1" allowOverlap="1" wp14:anchorId="0EC2D0D6" wp14:editId="62D26A1F">
            <wp:simplePos x="0" y="0"/>
            <wp:positionH relativeFrom="margin">
              <wp:posOffset>817245</wp:posOffset>
            </wp:positionH>
            <wp:positionV relativeFrom="paragraph">
              <wp:posOffset>19050</wp:posOffset>
            </wp:positionV>
            <wp:extent cx="4168140" cy="2400935"/>
            <wp:effectExtent l="0" t="0" r="3810" b="0"/>
            <wp:wrapTight wrapText="bothSides">
              <wp:wrapPolygon edited="0">
                <wp:start x="0" y="0"/>
                <wp:lineTo x="0" y="21423"/>
                <wp:lineTo x="21521" y="21423"/>
                <wp:lineTo x="215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947" t="6992" r="5189" b="8553"/>
                    <a:stretch/>
                  </pic:blipFill>
                  <pic:spPr bwMode="auto">
                    <a:xfrm>
                      <a:off x="0" y="0"/>
                      <a:ext cx="4168140"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626643" w:rsidRPr="007223FB" w:rsidRDefault="00626643" w:rsidP="00626643">
      <w:pPr>
        <w:tabs>
          <w:tab w:val="center" w:pos="4362"/>
        </w:tabs>
        <w:spacing w:after="0" w:line="240" w:lineRule="auto"/>
        <w:jc w:val="center"/>
        <w:rPr>
          <w:rFonts w:eastAsia="Calibri" w:cs="Times New Roman"/>
        </w:rPr>
      </w:pPr>
    </w:p>
    <w:p w:rsidR="00B27D73" w:rsidRPr="007223FB" w:rsidRDefault="00626643" w:rsidP="00974505">
      <w:pPr>
        <w:jc w:val="center"/>
        <w:rPr>
          <w:rFonts w:eastAsia="Calibri" w:cs="Times New Roman"/>
        </w:rPr>
      </w:pPr>
      <w:r w:rsidRPr="007223FB">
        <w:rPr>
          <w:rFonts w:eastAsia="Calibri" w:cs="Times New Roman"/>
        </w:rPr>
        <w:t>Fuente: Elaboración SEGEP</w:t>
      </w:r>
      <w:r w:rsidR="00AC3077" w:rsidRPr="007223FB">
        <w:rPr>
          <w:rFonts w:eastAsia="Calibri" w:cs="Times New Roman"/>
        </w:rPr>
        <w:t>LAN con base en datos del SICOIN</w:t>
      </w:r>
      <w:r w:rsidRPr="007223FB">
        <w:rPr>
          <w:rFonts w:eastAsia="Calibri" w:cs="Times New Roman"/>
        </w:rPr>
        <w:t xml:space="preserve"> de fecha 5/09/2019.</w:t>
      </w:r>
    </w:p>
    <w:p w:rsidR="00B77E42" w:rsidRPr="007223FB" w:rsidRDefault="00B77E42" w:rsidP="000B07D9">
      <w:pPr>
        <w:pStyle w:val="Prrafodelista"/>
        <w:numPr>
          <w:ilvl w:val="0"/>
          <w:numId w:val="5"/>
        </w:numPr>
        <w:rPr>
          <w:b/>
          <w:lang w:val="es-ES" w:eastAsia="es-GT"/>
        </w:rPr>
      </w:pPr>
      <w:r w:rsidRPr="007223FB">
        <w:rPr>
          <w:b/>
          <w:lang w:val="es-ES" w:eastAsia="es-GT"/>
        </w:rPr>
        <w:t>Ministerio de Cultura y Deportes</w:t>
      </w:r>
      <w:r w:rsidR="00757A23" w:rsidRPr="007223FB">
        <w:rPr>
          <w:b/>
          <w:lang w:val="es-ES" w:eastAsia="es-GT"/>
        </w:rPr>
        <w:t xml:space="preserve"> –MCD- </w:t>
      </w:r>
    </w:p>
    <w:p w:rsidR="00E176B1" w:rsidRPr="007223FB" w:rsidRDefault="00E176B1" w:rsidP="00E176B1">
      <w:pPr>
        <w:rPr>
          <w:lang w:val="es-MX" w:eastAsia="es-GT"/>
        </w:rPr>
      </w:pPr>
      <w:r w:rsidRPr="007223FB">
        <w:rPr>
          <w:lang w:val="es-MX"/>
        </w:rPr>
        <w:t xml:space="preserve">El MCD-, según la Ley del Organismo Ejecutivo Decreto 114-97, </w:t>
      </w:r>
      <w:r w:rsidRPr="007223FB">
        <w:t xml:space="preserve">atiende lo relativo al régimen jurídico aplicable a la conservación y desarrollo de la cultura guatemalteca y el cuidado de la autenticidad en sus diversas manifestaciones; la protección de los monumentos nacionales y de los edificios, instituciones y áreas de interés histórico o cultural y el impulso de la recreación y del deporte no federado ni escolar, </w:t>
      </w:r>
      <w:r w:rsidRPr="007223FB">
        <w:rPr>
          <w:lang w:val="es-MX"/>
        </w:rPr>
        <w:t>por medio de la implementación y ejecución de las Políticas Culturales y Deportivas Nacionales  y el Plan de la Cultura de Largo Plazo denominado “la cultura como motor del desarrollo”; el Ministerio está encaminado</w:t>
      </w:r>
      <w:r w:rsidRPr="007223FB">
        <w:t xml:space="preserve"> a las prioridades contenidas  en el Plan Nacional de Desarrollo K’atun, específicamente en el Eje  Bienestar para la Gente con la prioridad: “promover la cultura como elemento fundamental para la revitalización del tejido social y la construcción de la identidad nacional”, a través de la generación y facilitación de productos vinculados a los cuatro programas sustantivos: </w:t>
      </w:r>
      <w:r w:rsidRPr="007223FB">
        <w:rPr>
          <w:lang w:val="es-MX" w:eastAsia="es-GT"/>
        </w:rPr>
        <w:t xml:space="preserve">a) </w:t>
      </w:r>
      <w:r w:rsidRPr="007223FB">
        <w:rPr>
          <w:lang w:eastAsia="es-GT"/>
        </w:rPr>
        <w:t>Formación, fomento y difusión del arte y la cultura, b)</w:t>
      </w:r>
      <w:r w:rsidRPr="007223FB">
        <w:rPr>
          <w:lang w:val="es-MX" w:eastAsia="es-GT"/>
        </w:rPr>
        <w:t xml:space="preserve"> </w:t>
      </w:r>
      <w:r w:rsidRPr="007223FB">
        <w:rPr>
          <w:lang w:eastAsia="es-GT"/>
        </w:rPr>
        <w:t>Protección, restauración y preservación del patrimonio cultural y natural, c)</w:t>
      </w:r>
      <w:r w:rsidRPr="007223FB">
        <w:rPr>
          <w:lang w:val="es-MX" w:eastAsia="es-GT"/>
        </w:rPr>
        <w:t xml:space="preserve"> </w:t>
      </w:r>
      <w:r w:rsidRPr="007223FB">
        <w:rPr>
          <w:lang w:eastAsia="es-GT"/>
        </w:rPr>
        <w:t xml:space="preserve">Fomento al </w:t>
      </w:r>
      <w:r w:rsidRPr="007223FB">
        <w:rPr>
          <w:lang w:val="es-MX"/>
        </w:rPr>
        <w:t>deporte no federado y la recreación y d)</w:t>
      </w:r>
      <w:r w:rsidRPr="007223FB">
        <w:rPr>
          <w:lang w:val="es-MX" w:eastAsia="es-GT"/>
        </w:rPr>
        <w:t xml:space="preserve"> </w:t>
      </w:r>
      <w:r w:rsidRPr="007223FB">
        <w:rPr>
          <w:lang w:val="es-MX"/>
        </w:rPr>
        <w:t>Gestión del desarrollo cultural.</w:t>
      </w:r>
    </w:p>
    <w:p w:rsidR="00E176B1" w:rsidRPr="007223FB" w:rsidRDefault="00BD082D" w:rsidP="00E176B1">
      <w:pPr>
        <w:rPr>
          <w:rFonts w:cs="Candara"/>
          <w:lang w:eastAsia="es-GT"/>
        </w:rPr>
      </w:pPr>
      <w:r w:rsidRPr="007223FB">
        <w:rPr>
          <w:lang w:eastAsia="es-GT"/>
        </w:rPr>
        <w:t xml:space="preserve">Al concluir el segundo </w:t>
      </w:r>
      <w:r w:rsidR="00E176B1" w:rsidRPr="007223FB">
        <w:rPr>
          <w:lang w:eastAsia="es-GT"/>
        </w:rPr>
        <w:t>cuatrimestre del año en curso, la producción del Ministerio registra avances d</w:t>
      </w:r>
      <w:r w:rsidR="00E176B1" w:rsidRPr="007223FB">
        <w:rPr>
          <w:rFonts w:cs="Candara"/>
          <w:lang w:eastAsia="es-GT"/>
        </w:rPr>
        <w:t>e los veintitrés productos:</w:t>
      </w:r>
    </w:p>
    <w:p w:rsidR="00D4642F" w:rsidRDefault="00D4642F">
      <w:pPr>
        <w:jc w:val="left"/>
        <w:rPr>
          <w:rFonts w:eastAsiaTheme="majorEastAsia" w:cstheme="majorBidi"/>
          <w:b/>
          <w:caps/>
          <w:spacing w:val="10"/>
          <w:sz w:val="18"/>
          <w:lang w:eastAsia="es-GT"/>
        </w:rPr>
      </w:pPr>
      <w:bookmarkStart w:id="99" w:name="_Toc19524699"/>
      <w:r>
        <w:rPr>
          <w:b/>
          <w:sz w:val="18"/>
        </w:rPr>
        <w:br w:type="page"/>
      </w:r>
    </w:p>
    <w:p w:rsidR="00E176B1" w:rsidRPr="00A17383" w:rsidRDefault="00BD082D" w:rsidP="00A17383">
      <w:pPr>
        <w:pStyle w:val="Ttulo4"/>
        <w:numPr>
          <w:ilvl w:val="0"/>
          <w:numId w:val="0"/>
        </w:numPr>
        <w:ind w:left="864"/>
        <w:rPr>
          <w:rFonts w:ascii="Candara" w:hAnsi="Candara"/>
          <w:b/>
          <w:color w:val="auto"/>
          <w:sz w:val="18"/>
        </w:rPr>
      </w:pPr>
      <w:r w:rsidRPr="00A17383">
        <w:rPr>
          <w:rFonts w:ascii="Candara" w:hAnsi="Candara"/>
          <w:b/>
          <w:color w:val="auto"/>
          <w:sz w:val="18"/>
        </w:rPr>
        <w:lastRenderedPageBreak/>
        <w:t xml:space="preserve">Cuadro </w:t>
      </w:r>
      <w:r w:rsidR="00A17383">
        <w:rPr>
          <w:rFonts w:ascii="Candara" w:hAnsi="Candara"/>
          <w:b/>
          <w:color w:val="auto"/>
          <w:sz w:val="18"/>
        </w:rPr>
        <w:t>1</w:t>
      </w:r>
      <w:r w:rsidR="009B30CD">
        <w:rPr>
          <w:rFonts w:ascii="Candara" w:hAnsi="Candara"/>
          <w:b/>
          <w:color w:val="auto"/>
          <w:sz w:val="18"/>
        </w:rPr>
        <w:t>3</w:t>
      </w:r>
      <w:r w:rsidR="00A17383">
        <w:rPr>
          <w:rFonts w:ascii="Candara" w:hAnsi="Candara"/>
          <w:b/>
          <w:color w:val="auto"/>
          <w:sz w:val="18"/>
        </w:rPr>
        <w:br/>
      </w:r>
      <w:r w:rsidRPr="00A17383">
        <w:rPr>
          <w:rFonts w:ascii="Candara" w:hAnsi="Candara"/>
          <w:b/>
          <w:color w:val="auto"/>
          <w:sz w:val="18"/>
        </w:rPr>
        <w:t>Resultados Institucionales, metas físicas de la producción</w:t>
      </w:r>
      <w:r w:rsidR="00A17383">
        <w:rPr>
          <w:rFonts w:ascii="Candara" w:hAnsi="Candara"/>
          <w:b/>
          <w:color w:val="auto"/>
          <w:sz w:val="18"/>
        </w:rPr>
        <w:br/>
      </w:r>
      <w:r w:rsidRPr="00A17383">
        <w:rPr>
          <w:rFonts w:ascii="Candara" w:hAnsi="Candara"/>
          <w:b/>
          <w:color w:val="auto"/>
          <w:sz w:val="18"/>
        </w:rPr>
        <w:t>Ejercicio Fiscal 2do cuatrimestre 2019</w:t>
      </w:r>
      <w:bookmarkEnd w:id="99"/>
    </w:p>
    <w:tbl>
      <w:tblPr>
        <w:tblStyle w:val="Tabladecuadrcula5oscura-nfasis11"/>
        <w:tblW w:w="10490" w:type="dxa"/>
        <w:tblInd w:w="-572" w:type="dxa"/>
        <w:tblLayout w:type="fixed"/>
        <w:tblLook w:val="04A0" w:firstRow="1" w:lastRow="0" w:firstColumn="1" w:lastColumn="0" w:noHBand="0" w:noVBand="1"/>
      </w:tblPr>
      <w:tblGrid>
        <w:gridCol w:w="1134"/>
        <w:gridCol w:w="2268"/>
        <w:gridCol w:w="1134"/>
        <w:gridCol w:w="1134"/>
        <w:gridCol w:w="1418"/>
        <w:gridCol w:w="1417"/>
        <w:gridCol w:w="1134"/>
        <w:gridCol w:w="851"/>
      </w:tblGrid>
      <w:tr w:rsidR="00BD082D" w:rsidRPr="00881D85" w:rsidTr="00881D85">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BD082D" w:rsidRPr="00881D85" w:rsidRDefault="00BD082D" w:rsidP="00757A23">
            <w:pPr>
              <w:tabs>
                <w:tab w:val="center" w:pos="4362"/>
              </w:tabs>
              <w:jc w:val="center"/>
              <w:rPr>
                <w:rFonts w:eastAsia="Times New Roman"/>
                <w:b w:val="0"/>
                <w:bCs w:val="0"/>
                <w:sz w:val="20"/>
                <w:lang w:eastAsia="es-ES"/>
              </w:rPr>
            </w:pPr>
            <w:r w:rsidRPr="00881D85">
              <w:rPr>
                <w:rFonts w:eastAsia="Times New Roman"/>
                <w:sz w:val="20"/>
                <w:lang w:eastAsia="es-ES"/>
              </w:rPr>
              <w:t>Resultado</w:t>
            </w:r>
          </w:p>
          <w:p w:rsidR="00BD082D" w:rsidRPr="00881D85" w:rsidRDefault="00BD082D" w:rsidP="00757A23">
            <w:pPr>
              <w:rPr>
                <w:rFonts w:eastAsia="Times New Roman"/>
                <w:sz w:val="20"/>
                <w:lang w:eastAsia="es-ES"/>
              </w:rPr>
            </w:pPr>
          </w:p>
        </w:tc>
        <w:tc>
          <w:tcPr>
            <w:tcW w:w="2268" w:type="dxa"/>
            <w:vMerge w:val="restart"/>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Productos</w:t>
            </w:r>
          </w:p>
        </w:tc>
        <w:tc>
          <w:tcPr>
            <w:tcW w:w="7088" w:type="dxa"/>
            <w:gridSpan w:val="6"/>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Avance físico</w:t>
            </w:r>
          </w:p>
        </w:tc>
      </w:tr>
      <w:tr w:rsidR="00BD082D" w:rsidRPr="00881D85" w:rsidTr="00881D85">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jc w:val="center"/>
              <w:rPr>
                <w:rFonts w:eastAsia="Times New Roman"/>
                <w:sz w:val="20"/>
                <w:lang w:eastAsia="es-ES"/>
              </w:rPr>
            </w:pPr>
          </w:p>
        </w:tc>
        <w:tc>
          <w:tcPr>
            <w:tcW w:w="2268" w:type="dxa"/>
            <w:vMerge/>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p>
        </w:tc>
        <w:tc>
          <w:tcPr>
            <w:tcW w:w="1134"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Inicial</w:t>
            </w:r>
          </w:p>
        </w:tc>
        <w:tc>
          <w:tcPr>
            <w:tcW w:w="1134"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Vigente</w:t>
            </w:r>
          </w:p>
        </w:tc>
        <w:tc>
          <w:tcPr>
            <w:tcW w:w="1418"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Ejecutado</w:t>
            </w:r>
          </w:p>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1er cuatrimestre</w:t>
            </w:r>
          </w:p>
        </w:tc>
        <w:tc>
          <w:tcPr>
            <w:tcW w:w="1417"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Ejecutado</w:t>
            </w:r>
          </w:p>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2do cuatrimestre</w:t>
            </w:r>
          </w:p>
        </w:tc>
        <w:tc>
          <w:tcPr>
            <w:tcW w:w="1134"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Total Ejecutado</w:t>
            </w:r>
          </w:p>
        </w:tc>
        <w:tc>
          <w:tcPr>
            <w:tcW w:w="851" w:type="dxa"/>
          </w:tcPr>
          <w:p w:rsidR="00BD082D" w:rsidRPr="00881D85" w:rsidRDefault="00BD082D" w:rsidP="00757A23">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 de avance</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BD082D" w:rsidRPr="00881D85" w:rsidRDefault="00BD082D" w:rsidP="00757A23">
            <w:pPr>
              <w:tabs>
                <w:tab w:val="center" w:pos="4362"/>
              </w:tabs>
              <w:rPr>
                <w:rFonts w:eastAsia="Times New Roman"/>
                <w:b w:val="0"/>
                <w:bCs w:val="0"/>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jc w:val="center"/>
              <w:rPr>
                <w:rFonts w:eastAsia="Times New Roman"/>
                <w:sz w:val="20"/>
                <w:lang w:eastAsia="es-ES"/>
              </w:rPr>
            </w:pPr>
          </w:p>
          <w:p w:rsidR="00BD082D" w:rsidRPr="00881D85" w:rsidRDefault="00BD082D" w:rsidP="00757A23">
            <w:pPr>
              <w:jc w:val="center"/>
              <w:rPr>
                <w:rFonts w:eastAsia="Times New Roman"/>
                <w:sz w:val="20"/>
                <w:lang w:eastAsia="es-ES"/>
              </w:rPr>
            </w:pPr>
          </w:p>
          <w:p w:rsidR="00BD082D" w:rsidRPr="00881D85" w:rsidRDefault="00BD082D" w:rsidP="00757A23">
            <w:pPr>
              <w:jc w:val="center"/>
              <w:rPr>
                <w:rFonts w:eastAsia="Times New Roman"/>
                <w:sz w:val="20"/>
                <w:lang w:eastAsia="es-ES"/>
              </w:rPr>
            </w:pPr>
          </w:p>
          <w:p w:rsidR="00BD082D" w:rsidRPr="00881D85" w:rsidRDefault="00BD082D" w:rsidP="00757A23">
            <w:pPr>
              <w:jc w:val="center"/>
              <w:rPr>
                <w:rFonts w:eastAsia="Times New Roman"/>
                <w:sz w:val="20"/>
                <w:lang w:eastAsia="es-ES"/>
              </w:rPr>
            </w:pPr>
          </w:p>
          <w:p w:rsidR="00BD082D" w:rsidRPr="00881D85" w:rsidRDefault="00BD082D" w:rsidP="00757A23">
            <w:pPr>
              <w:jc w:val="center"/>
              <w:rPr>
                <w:rFonts w:eastAsia="Times New Roman"/>
                <w:sz w:val="20"/>
                <w:lang w:eastAsia="es-ES"/>
              </w:rPr>
            </w:pPr>
            <w:r w:rsidRPr="00881D85">
              <w:rPr>
                <w:rFonts w:eastAsia="Times New Roman"/>
                <w:sz w:val="20"/>
                <w:lang w:eastAsia="es-ES"/>
              </w:rPr>
              <w:t>Sin resultado</w:t>
            </w: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p w:rsidR="00BD082D" w:rsidRPr="00881D85" w:rsidRDefault="00BD082D" w:rsidP="00757A23">
            <w:pPr>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Registro de Bienes Culturales y Sitios Arqueológicos en Beneficio de Personas y Entidades</w:t>
            </w:r>
          </w:p>
        </w:tc>
        <w:tc>
          <w:tcPr>
            <w:tcW w:w="1134" w:type="dxa"/>
          </w:tcPr>
          <w:p w:rsidR="00BD082D" w:rsidRPr="00881D85" w:rsidRDefault="00BD082D" w:rsidP="00CB1F49">
            <w:pPr>
              <w:tabs>
                <w:tab w:val="left" w:pos="210"/>
                <w:tab w:val="center" w:pos="486"/>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4,203</w:t>
            </w:r>
          </w:p>
        </w:tc>
        <w:tc>
          <w:tcPr>
            <w:tcW w:w="1134" w:type="dxa"/>
          </w:tcPr>
          <w:p w:rsidR="00BD082D" w:rsidRPr="00881D85" w:rsidRDefault="00BD082D" w:rsidP="00CB1F49">
            <w:pPr>
              <w:tabs>
                <w:tab w:val="left" w:pos="210"/>
                <w:tab w:val="center" w:pos="486"/>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4,203</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923</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737</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1,660</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39.50</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autoSpaceDE w:val="0"/>
              <w:autoSpaceDN w:val="0"/>
              <w:adjustRightInd w:val="0"/>
              <w:rPr>
                <w:rFonts w:cs="Courier"/>
                <w:sz w:val="20"/>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Visitantes Atendidos en Parques Sitios Arqueológicos y Zonas de Rescate Cultural y Natural</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538,458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538,458</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142,937</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91,879</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234,816</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43.61</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autoSpaceDE w:val="0"/>
              <w:autoSpaceDN w:val="0"/>
              <w:adjustRightInd w:val="0"/>
              <w:rPr>
                <w:rFonts w:cs="Courier"/>
                <w:sz w:val="20"/>
              </w:rPr>
            </w:pPr>
          </w:p>
        </w:tc>
        <w:tc>
          <w:tcPr>
            <w:tcW w:w="2268" w:type="dxa"/>
          </w:tcPr>
          <w:p w:rsidR="00BD082D" w:rsidRPr="00881D85" w:rsidRDefault="00BD082D" w:rsidP="00757A23">
            <w:pPr>
              <w:tabs>
                <w:tab w:val="center" w:pos="4362"/>
              </w:tabs>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Visitantes Atendidos en los Museos</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387,396</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387,396</w:t>
            </w:r>
          </w:p>
        </w:tc>
        <w:tc>
          <w:tcPr>
            <w:tcW w:w="1418"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71,998</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65,330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137,328</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35.45</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autoSpaceDE w:val="0"/>
              <w:autoSpaceDN w:val="0"/>
              <w:adjustRightInd w:val="0"/>
              <w:rPr>
                <w:rFonts w:cs="Courier"/>
                <w:sz w:val="20"/>
              </w:rPr>
            </w:pPr>
          </w:p>
        </w:tc>
        <w:tc>
          <w:tcPr>
            <w:tcW w:w="2268" w:type="dxa"/>
          </w:tcPr>
          <w:p w:rsidR="00BD082D" w:rsidRPr="00881D85" w:rsidRDefault="00BD082D" w:rsidP="00757A23">
            <w:pPr>
              <w:tabs>
                <w:tab w:val="center" w:pos="4362"/>
              </w:tabs>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Personas Capacitadas para la Salvaguarda del Patrimonio Intangible</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1,150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1,150</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99</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160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259</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22.52</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Usuarios Beneficiados con el Patrimonio Bibliográfico y Documental</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51,400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51,400</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8,686</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9,474</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18,160</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35.33</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Visitantes Atendidos en el Parque Nacional Tikal</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306,978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306,978</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71,822</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34,171</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105,993</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34.53</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Conservación y restauración de Bienes Culturales Muebles e Inmuebles</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6,889</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6,889</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1,650</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1,385</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3,035</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44.06</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Restauración y Preservación de Edificios y Monumentos Prehispánicos</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1,783</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1,783</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540</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740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1,280</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71.79</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r w:rsidRPr="00881D85">
              <w:rPr>
                <w:rFonts w:eastAsia="Times New Roman"/>
                <w:sz w:val="20"/>
                <w:lang w:eastAsia="es-ES"/>
              </w:rPr>
              <w:t>Sin resultado</w:t>
            </w: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Personas Beneficiadas con Actividades Deportivas no Escolares no Federadas y de Recreación</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215,463</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215,463</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18,550</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21,272</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39,822</w:t>
            </w:r>
          </w:p>
        </w:tc>
        <w:tc>
          <w:tcPr>
            <w:tcW w:w="851"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18.48</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Personas Beneficiadas con Acceso a Espacios para la Práctica del Deporte y la Recreación Física</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sz w:val="20"/>
              </w:rPr>
            </w:pPr>
            <w:r w:rsidRPr="00881D85">
              <w:rPr>
                <w:rFonts w:cs="Arial"/>
                <w:sz w:val="20"/>
              </w:rPr>
              <w:t>4,527,841</w:t>
            </w:r>
          </w:p>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sz w:val="20"/>
              </w:rPr>
            </w:pPr>
            <w:r w:rsidRPr="00881D85">
              <w:rPr>
                <w:rFonts w:cs="Arial"/>
                <w:sz w:val="20"/>
              </w:rPr>
              <w:t>4,527,841</w:t>
            </w:r>
          </w:p>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491,931</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490,295</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982,226</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21.69</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 xml:space="preserve">Mujeres beneficiadas con acceso a actividades físicas recreativas y de sensibilización para la prevención de la </w:t>
            </w:r>
          </w:p>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lastRenderedPageBreak/>
              <w:t>violencia</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lastRenderedPageBreak/>
              <w:t>31,100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31,100</w:t>
            </w:r>
          </w:p>
        </w:tc>
        <w:tc>
          <w:tcPr>
            <w:tcW w:w="1418"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5,193</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4,300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9,493</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30.52</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Jóvenes Beneficiados con Actividades Físicas y Deportivas</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73,250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73,250</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3,060</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4,318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7,378</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10.07</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Personas que reciben implementos para actividades físicas deportivas y de recreación física en su tiempo libre</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185,000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185,000</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45,810</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30,000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75,810</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40.98</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Personas en Situación de Vulnerabilidad Beneficiadas con Actividades Deportivas Formativas y de</w:t>
            </w:r>
          </w:p>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Recreación Física</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204</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204</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27</w:t>
            </w:r>
          </w:p>
        </w:tc>
        <w:tc>
          <w:tcPr>
            <w:tcW w:w="1417" w:type="dxa"/>
          </w:tcPr>
          <w:p w:rsidR="00BD082D" w:rsidRPr="00881D85" w:rsidRDefault="00BD082D" w:rsidP="00CB1F49">
            <w:pPr>
              <w:tabs>
                <w:tab w:val="left" w:pos="507"/>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21</w:t>
            </w:r>
          </w:p>
        </w:tc>
        <w:tc>
          <w:tcPr>
            <w:tcW w:w="1134" w:type="dxa"/>
          </w:tcPr>
          <w:p w:rsidR="00BD082D" w:rsidRPr="00881D85" w:rsidRDefault="00BD082D" w:rsidP="00CB1F49">
            <w:pPr>
              <w:tabs>
                <w:tab w:val="left" w:pos="507"/>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48</w:t>
            </w:r>
          </w:p>
        </w:tc>
        <w:tc>
          <w:tcPr>
            <w:tcW w:w="851" w:type="dxa"/>
          </w:tcPr>
          <w:p w:rsidR="00BD082D" w:rsidRPr="00881D85" w:rsidRDefault="00BD082D" w:rsidP="00CB1F49">
            <w:pPr>
              <w:tabs>
                <w:tab w:val="left" w:pos="507"/>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23.53</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Festivales Deportivos y Recreativos y Otros Eventos de Carácter Especial realizados para Promover el</w:t>
            </w:r>
          </w:p>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Acceso a la Actividad Física el Deporte no Federado no Escolar y la Recreación</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327</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327</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39</w:t>
            </w:r>
          </w:p>
        </w:tc>
        <w:tc>
          <w:tcPr>
            <w:tcW w:w="1417" w:type="dxa"/>
          </w:tcPr>
          <w:p w:rsidR="00BD082D" w:rsidRPr="00881D85" w:rsidRDefault="00BD082D" w:rsidP="00CB1F49">
            <w:pPr>
              <w:tabs>
                <w:tab w:val="left" w:pos="789"/>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26</w:t>
            </w:r>
          </w:p>
        </w:tc>
        <w:tc>
          <w:tcPr>
            <w:tcW w:w="1134" w:type="dxa"/>
          </w:tcPr>
          <w:p w:rsidR="00BD082D" w:rsidRPr="00881D85" w:rsidRDefault="00BD082D" w:rsidP="00CB1F49">
            <w:pPr>
              <w:tabs>
                <w:tab w:val="left" w:pos="789"/>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65</w:t>
            </w:r>
          </w:p>
        </w:tc>
        <w:tc>
          <w:tcPr>
            <w:tcW w:w="851" w:type="dxa"/>
          </w:tcPr>
          <w:p w:rsidR="00BD082D" w:rsidRPr="00881D85" w:rsidRDefault="00BD082D" w:rsidP="00CB1F49">
            <w:pPr>
              <w:tabs>
                <w:tab w:val="left" w:pos="789"/>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19.88</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rPr>
                <w:rFonts w:eastAsia="Times New Roman"/>
                <w:sz w:val="20"/>
                <w:lang w:eastAsia="es-ES"/>
              </w:rPr>
            </w:pPr>
          </w:p>
          <w:p w:rsidR="00BD082D" w:rsidRPr="00881D85" w:rsidRDefault="00BD082D" w:rsidP="00757A23">
            <w:pPr>
              <w:tabs>
                <w:tab w:val="center" w:pos="4362"/>
              </w:tabs>
              <w:jc w:val="center"/>
              <w:rPr>
                <w:rFonts w:eastAsia="Times New Roman"/>
                <w:sz w:val="20"/>
                <w:lang w:eastAsia="es-ES"/>
              </w:rPr>
            </w:pPr>
            <w:r w:rsidRPr="00881D85">
              <w:rPr>
                <w:rFonts w:eastAsia="Times New Roman"/>
                <w:sz w:val="20"/>
                <w:lang w:eastAsia="es-ES"/>
              </w:rPr>
              <w:t>Sin resultado</w:t>
            </w: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Personas que Reciben Capacitación y Asistencia Técnica en Participación Ciudadana</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9,645</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9,645</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3,050</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2,568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5,618</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58.25</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Instituciones y Organizaciones Beneficiadas con Asesoría Técnica y Coordinación en Temas de</w:t>
            </w:r>
          </w:p>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Inclusión Cultural en la Prestación de Servicios Públicos y Privados</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126</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126</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70</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121</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96.03</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Personas que Participan en Actividades de Convivencia Intercultural en el Marco de la Diversidad</w:t>
            </w:r>
          </w:p>
          <w:p w:rsidR="00BD082D" w:rsidRPr="00881D85" w:rsidRDefault="00BD082D" w:rsidP="00757A2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Cultural</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7,000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7,000</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2,340</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2,288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4,628</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66.11</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Personas Formadas en las Diferentes Disciplinas del Arte</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11,268</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11,268</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2,923</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792</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3,715</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32.97</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 xml:space="preserve">Conciertos y Presentaciones de </w:t>
            </w:r>
            <w:r w:rsidRPr="00881D85">
              <w:rPr>
                <w:rFonts w:cs="Arial"/>
                <w:sz w:val="20"/>
              </w:rPr>
              <w:lastRenderedPageBreak/>
              <w:t>Instituciones Artísticas en Beneficio de Personas</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lastRenderedPageBreak/>
              <w:t>404</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404</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77</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43</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120</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29.70</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Personas Beneficiadas con Difusión Cultural Artística y Literaria</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51,392</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51,392</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4,159</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2,080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6,239</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12.14</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Autorización y Control de Espectáculos Públicos en Beneficio de Personas</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1,879</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1,879</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525</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150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675</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35.92</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Artistas y Literatos que Reciben Asistencia Técnica Organizativa y Reconocimiento por su Labor</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80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80</w:t>
            </w:r>
          </w:p>
        </w:tc>
        <w:tc>
          <w:tcPr>
            <w:tcW w:w="1418"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29</w:t>
            </w:r>
          </w:p>
        </w:tc>
        <w:tc>
          <w:tcPr>
            <w:tcW w:w="1417"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w:t>
            </w:r>
          </w:p>
        </w:tc>
        <w:tc>
          <w:tcPr>
            <w:tcW w:w="1134"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31</w:t>
            </w:r>
          </w:p>
        </w:tc>
        <w:tc>
          <w:tcPr>
            <w:tcW w:w="851"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38.75</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val="restart"/>
          </w:tcPr>
          <w:p w:rsidR="00BD082D" w:rsidRPr="00881D85" w:rsidRDefault="00BD082D" w:rsidP="00757A23">
            <w:pPr>
              <w:autoSpaceDE w:val="0"/>
              <w:autoSpaceDN w:val="0"/>
              <w:adjustRightInd w:val="0"/>
              <w:jc w:val="left"/>
              <w:rPr>
                <w:rFonts w:cs="Courier"/>
                <w:bCs w:val="0"/>
                <w:sz w:val="20"/>
              </w:rPr>
            </w:pPr>
            <w:r w:rsidRPr="00881D85">
              <w:rPr>
                <w:rFonts w:cs="Courier"/>
                <w:bCs w:val="0"/>
                <w:sz w:val="20"/>
              </w:rPr>
              <w:t>Para el año 2023 se ha incrementado la participación de personas en las diferentes disciplinas del arte en</w:t>
            </w:r>
          </w:p>
          <w:p w:rsidR="00BD082D" w:rsidRPr="00881D85" w:rsidRDefault="00BD082D" w:rsidP="00757A23">
            <w:pPr>
              <w:autoSpaceDE w:val="0"/>
              <w:autoSpaceDN w:val="0"/>
              <w:adjustRightInd w:val="0"/>
              <w:jc w:val="left"/>
              <w:rPr>
                <w:rFonts w:cs="Courier"/>
                <w:bCs w:val="0"/>
                <w:sz w:val="20"/>
              </w:rPr>
            </w:pPr>
            <w:r w:rsidRPr="00881D85">
              <w:rPr>
                <w:rFonts w:cs="Courier"/>
                <w:bCs w:val="0"/>
                <w:sz w:val="20"/>
              </w:rPr>
              <w:t>18 9 por ciento de 9 469 personas en 2014 a 11 255 en 2023</w:t>
            </w:r>
          </w:p>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Personas Formadas en las Diferentes Disciplinas del Arte</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11,268</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11,268</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2,923</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3,715</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3,715</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32.97</w:t>
            </w:r>
          </w:p>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cs="Arial"/>
                <w:sz w:val="20"/>
              </w:rPr>
            </w:pPr>
          </w:p>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Conciertos y Presentaciones de Instituciones Artísticas en Beneficio de Personas</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404</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404</w:t>
            </w:r>
          </w:p>
        </w:tc>
        <w:tc>
          <w:tcPr>
            <w:tcW w:w="1418" w:type="dxa"/>
          </w:tcPr>
          <w:p w:rsidR="00BD082D" w:rsidRPr="00881D85" w:rsidRDefault="00BD082D" w:rsidP="00CB1F49">
            <w:pPr>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eastAsia="Times New Roman"/>
                <w:sz w:val="20"/>
                <w:lang w:eastAsia="es-ES"/>
              </w:rPr>
              <w:t>77</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120</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120</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29.70</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Personas Beneficiadas con Difusión Cultural Artística y Literaria</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51,392</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51,392</w:t>
            </w:r>
          </w:p>
        </w:tc>
        <w:tc>
          <w:tcPr>
            <w:tcW w:w="1418"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4,159</w:t>
            </w:r>
          </w:p>
        </w:tc>
        <w:tc>
          <w:tcPr>
            <w:tcW w:w="1417"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6,239</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6,239</w:t>
            </w:r>
          </w:p>
        </w:tc>
        <w:tc>
          <w:tcPr>
            <w:tcW w:w="851"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cs="Arial"/>
                <w:sz w:val="20"/>
              </w:rPr>
            </w:pPr>
            <w:r w:rsidRPr="00881D85">
              <w:rPr>
                <w:rFonts w:cs="Arial"/>
                <w:sz w:val="20"/>
              </w:rPr>
              <w:t>12.14</w:t>
            </w:r>
          </w:p>
        </w:tc>
      </w:tr>
      <w:tr w:rsidR="00BD082D" w:rsidRPr="00881D85" w:rsidTr="00CB1F49">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Autorización y Control de Espectáculos Públicos en Beneficio de Personas</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1,879</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1,879</w:t>
            </w:r>
          </w:p>
        </w:tc>
        <w:tc>
          <w:tcPr>
            <w:tcW w:w="1418"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es-ES"/>
              </w:rPr>
            </w:pPr>
            <w:r w:rsidRPr="00881D85">
              <w:rPr>
                <w:rFonts w:cs="Arial"/>
                <w:sz w:val="20"/>
              </w:rPr>
              <w:t>525</w:t>
            </w:r>
          </w:p>
        </w:tc>
        <w:tc>
          <w:tcPr>
            <w:tcW w:w="1417"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675</w:t>
            </w:r>
          </w:p>
        </w:tc>
        <w:tc>
          <w:tcPr>
            <w:tcW w:w="1134"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675</w:t>
            </w:r>
          </w:p>
        </w:tc>
        <w:tc>
          <w:tcPr>
            <w:tcW w:w="851" w:type="dxa"/>
          </w:tcPr>
          <w:p w:rsidR="00BD082D" w:rsidRPr="00881D85" w:rsidRDefault="00BD082D" w:rsidP="00CB1F49">
            <w:pPr>
              <w:tabs>
                <w:tab w:val="center" w:pos="4362"/>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881D85">
              <w:rPr>
                <w:rFonts w:cs="Arial"/>
                <w:sz w:val="20"/>
              </w:rPr>
              <w:t>35.92</w:t>
            </w:r>
          </w:p>
        </w:tc>
      </w:tr>
      <w:tr w:rsidR="00BD082D" w:rsidRPr="00881D85" w:rsidTr="00CB1F49">
        <w:trPr>
          <w:trHeight w:val="132"/>
        </w:trPr>
        <w:tc>
          <w:tcPr>
            <w:cnfStyle w:val="001000000000" w:firstRow="0" w:lastRow="0" w:firstColumn="1" w:lastColumn="0" w:oddVBand="0" w:evenVBand="0" w:oddHBand="0" w:evenHBand="0" w:firstRowFirstColumn="0" w:firstRowLastColumn="0" w:lastRowFirstColumn="0" w:lastRowLastColumn="0"/>
            <w:tcW w:w="1134" w:type="dxa"/>
            <w:vMerge/>
          </w:tcPr>
          <w:p w:rsidR="00BD082D" w:rsidRPr="00881D85" w:rsidRDefault="00BD082D" w:rsidP="00757A23">
            <w:pPr>
              <w:tabs>
                <w:tab w:val="center" w:pos="4362"/>
              </w:tabs>
              <w:rPr>
                <w:rFonts w:eastAsia="Times New Roman"/>
                <w:sz w:val="20"/>
                <w:lang w:eastAsia="es-ES"/>
              </w:rPr>
            </w:pPr>
          </w:p>
        </w:tc>
        <w:tc>
          <w:tcPr>
            <w:tcW w:w="2268" w:type="dxa"/>
          </w:tcPr>
          <w:p w:rsidR="00BD082D" w:rsidRPr="00881D85" w:rsidRDefault="00BD082D" w:rsidP="00757A23">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Artistas y Literatos que Reciben Asistencia Técnica Organizativa y Reconocimiento por su Labor</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80</w:t>
            </w:r>
          </w:p>
        </w:tc>
        <w:tc>
          <w:tcPr>
            <w:tcW w:w="1134" w:type="dxa"/>
          </w:tcPr>
          <w:p w:rsidR="00BD082D" w:rsidRPr="00881D85" w:rsidRDefault="00BD082D" w:rsidP="00CB1F49">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80</w:t>
            </w:r>
          </w:p>
        </w:tc>
        <w:tc>
          <w:tcPr>
            <w:tcW w:w="1418"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eastAsia="Times New Roman"/>
                <w:sz w:val="20"/>
                <w:lang w:eastAsia="es-ES"/>
              </w:rPr>
              <w:t>29</w:t>
            </w:r>
          </w:p>
        </w:tc>
        <w:tc>
          <w:tcPr>
            <w:tcW w:w="1417"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31</w:t>
            </w:r>
          </w:p>
        </w:tc>
        <w:tc>
          <w:tcPr>
            <w:tcW w:w="1134"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31</w:t>
            </w:r>
          </w:p>
        </w:tc>
        <w:tc>
          <w:tcPr>
            <w:tcW w:w="851" w:type="dxa"/>
          </w:tcPr>
          <w:p w:rsidR="00BD082D" w:rsidRPr="00881D85" w:rsidRDefault="00BD082D" w:rsidP="00CB1F49">
            <w:pPr>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es-ES"/>
              </w:rPr>
            </w:pPr>
            <w:r w:rsidRPr="00881D85">
              <w:rPr>
                <w:rFonts w:cs="Arial"/>
                <w:sz w:val="20"/>
              </w:rPr>
              <w:t>38.75</w:t>
            </w:r>
          </w:p>
        </w:tc>
      </w:tr>
    </w:tbl>
    <w:p w:rsidR="00BD082D" w:rsidRPr="007223FB" w:rsidRDefault="00BD082D" w:rsidP="00BD082D">
      <w:pPr>
        <w:spacing w:after="0" w:line="240" w:lineRule="auto"/>
        <w:rPr>
          <w:rFonts w:cs="Candara"/>
          <w:lang w:eastAsia="es-GT"/>
        </w:rPr>
      </w:pPr>
      <w:r w:rsidRPr="007223FB">
        <w:rPr>
          <w:rFonts w:cs="Candara"/>
          <w:lang w:eastAsia="es-GT"/>
        </w:rPr>
        <w:t>Fuente: Elaboración SEGEP</w:t>
      </w:r>
      <w:r w:rsidR="00AC3077" w:rsidRPr="007223FB">
        <w:rPr>
          <w:rFonts w:cs="Candara"/>
          <w:lang w:eastAsia="es-GT"/>
        </w:rPr>
        <w:t>LAN con base en datos del SIPLAN</w:t>
      </w:r>
      <w:r w:rsidRPr="007223FB">
        <w:rPr>
          <w:rFonts w:cs="Candara"/>
          <w:lang w:eastAsia="es-GT"/>
        </w:rPr>
        <w:t xml:space="preserve"> al 05/09/2019</w:t>
      </w:r>
    </w:p>
    <w:p w:rsidR="00E176B1" w:rsidRPr="007223FB" w:rsidRDefault="00E176B1" w:rsidP="00881D85">
      <w:pPr>
        <w:autoSpaceDE w:val="0"/>
        <w:autoSpaceDN w:val="0"/>
        <w:adjustRightInd w:val="0"/>
        <w:spacing w:before="120" w:after="120" w:line="240" w:lineRule="auto"/>
        <w:rPr>
          <w:rFonts w:cs="Arial"/>
        </w:rPr>
      </w:pPr>
      <w:r w:rsidRPr="007223FB">
        <w:t>De los cuatro programas sustantivos, el único que reporta resultado institucional es el Programa de las Artes, el ministerio registra veintitrés (23) productos, de los cuales tres ( 3 ) registran mayor porcentaje de avance físico, siendo: “</w:t>
      </w:r>
      <w:r w:rsidRPr="007223FB">
        <w:rPr>
          <w:rFonts w:cs="Arial"/>
        </w:rPr>
        <w:t>Instituciones y Organizaciones Beneficiadas con Asesoría Técnica y Coordinación en Temas de Inclusión Cultural en la Prestación de Servicios Públicos y Privados” con 96.03%, “Restauración y Preservación de Edificios y Monumentos Prehispánicos” con 71.79% y “Personas que Participan en Actividades de Convivencia Intercultural en el Marco de la Diversidad Cultural” con 66.11%. Por otro lado, los productos que reporta</w:t>
      </w:r>
      <w:r w:rsidR="002216A9" w:rsidRPr="007223FB">
        <w:rPr>
          <w:rFonts w:cs="Arial"/>
        </w:rPr>
        <w:t>n</w:t>
      </w:r>
      <w:r w:rsidRPr="007223FB">
        <w:rPr>
          <w:rFonts w:cs="Arial"/>
        </w:rPr>
        <w:t xml:space="preserve"> menor avance físico son: “Jóvenes Beneficiados con Actividades Físicas y Deportivas” con 10.07% de avance, “Personas Beneficiadas con Difusión Cultural Artística y Literaria” con 12.14% y “Festivales Deportivos y Recreativos y Otros Eventos de Carácter Especial realizados para Promover el Acceso a la Actividad Física el Deporte no Federado no Escolar y la Recreación” con 19.88%.</w:t>
      </w:r>
    </w:p>
    <w:p w:rsidR="00E176B1" w:rsidRPr="007223FB" w:rsidRDefault="00E176B1" w:rsidP="00881D85">
      <w:pPr>
        <w:autoSpaceDE w:val="0"/>
        <w:autoSpaceDN w:val="0"/>
        <w:adjustRightInd w:val="0"/>
        <w:spacing w:before="120" w:after="120" w:line="240" w:lineRule="auto"/>
        <w:rPr>
          <w:rFonts w:cs="Arial"/>
        </w:rPr>
      </w:pPr>
      <w:r w:rsidRPr="007223FB">
        <w:lastRenderedPageBreak/>
        <w:t>Se recomienda mejorar la ejecución física en el próximo cuatrimestre, en especial del programa del deporte y la recreación porque tiene presupuesto constitucional.</w:t>
      </w:r>
    </w:p>
    <w:p w:rsidR="00E176B1" w:rsidRPr="00765ACE" w:rsidRDefault="00E176B1" w:rsidP="00765ACE">
      <w:pPr>
        <w:pStyle w:val="Ttulo5"/>
        <w:numPr>
          <w:ilvl w:val="0"/>
          <w:numId w:val="0"/>
        </w:numPr>
        <w:ind w:left="1008"/>
        <w:rPr>
          <w:rFonts w:ascii="Candara" w:hAnsi="Candara"/>
          <w:b/>
          <w:color w:val="auto"/>
          <w:sz w:val="18"/>
        </w:rPr>
      </w:pPr>
      <w:bookmarkStart w:id="100" w:name="_Toc19527392"/>
      <w:r w:rsidRPr="00765ACE">
        <w:rPr>
          <w:rFonts w:ascii="Candara" w:hAnsi="Candara"/>
          <w:b/>
          <w:color w:val="auto"/>
          <w:sz w:val="18"/>
        </w:rPr>
        <w:t xml:space="preserve">Gráfica </w:t>
      </w:r>
      <w:r w:rsidR="00D4642F">
        <w:rPr>
          <w:rFonts w:ascii="Candara" w:hAnsi="Candara"/>
          <w:b/>
          <w:color w:val="auto"/>
          <w:sz w:val="18"/>
        </w:rPr>
        <w:t>9</w:t>
      </w:r>
      <w:r w:rsidR="00D4642F">
        <w:rPr>
          <w:rFonts w:ascii="Candara" w:hAnsi="Candara"/>
          <w:b/>
          <w:color w:val="auto"/>
          <w:sz w:val="18"/>
        </w:rPr>
        <w:br/>
      </w:r>
      <w:r w:rsidRPr="00765ACE">
        <w:rPr>
          <w:rFonts w:ascii="Candara" w:hAnsi="Candara"/>
          <w:b/>
          <w:color w:val="auto"/>
          <w:sz w:val="18"/>
        </w:rPr>
        <w:t>Ejecución presupuestaria</w:t>
      </w:r>
      <w:r w:rsidR="00D4642F">
        <w:rPr>
          <w:rFonts w:ascii="Candara" w:hAnsi="Candara"/>
          <w:b/>
          <w:color w:val="auto"/>
          <w:sz w:val="18"/>
        </w:rPr>
        <w:br/>
      </w:r>
      <w:r w:rsidRPr="00765ACE">
        <w:rPr>
          <w:rFonts w:ascii="Candara" w:hAnsi="Candara"/>
          <w:b/>
          <w:color w:val="auto"/>
          <w:sz w:val="18"/>
        </w:rPr>
        <w:t>Ministerio de Cultura y Deportes</w:t>
      </w:r>
      <w:r w:rsidR="00D4642F">
        <w:rPr>
          <w:rFonts w:ascii="Candara" w:hAnsi="Candara"/>
          <w:b/>
          <w:color w:val="auto"/>
          <w:sz w:val="18"/>
        </w:rPr>
        <w:br/>
      </w:r>
      <w:r w:rsidRPr="00765ACE">
        <w:rPr>
          <w:rFonts w:ascii="Candara" w:hAnsi="Candara"/>
          <w:b/>
          <w:color w:val="auto"/>
          <w:sz w:val="18"/>
        </w:rPr>
        <w:t>Ejercicio Fiscal 2do cuatrimestre 2019</w:t>
      </w:r>
      <w:r w:rsidR="00D4642F">
        <w:rPr>
          <w:rFonts w:ascii="Candara" w:hAnsi="Candara"/>
          <w:b/>
          <w:color w:val="auto"/>
          <w:sz w:val="18"/>
        </w:rPr>
        <w:br/>
      </w:r>
      <w:r w:rsidRPr="00765ACE">
        <w:rPr>
          <w:rFonts w:ascii="Candara" w:hAnsi="Candara"/>
          <w:b/>
          <w:color w:val="auto"/>
          <w:sz w:val="18"/>
        </w:rPr>
        <w:t>En millones de Q</w:t>
      </w:r>
      <w:bookmarkEnd w:id="100"/>
    </w:p>
    <w:p w:rsidR="00E176B1" w:rsidRPr="007223FB" w:rsidRDefault="00E176B1" w:rsidP="00E176B1">
      <w:pPr>
        <w:autoSpaceDE w:val="0"/>
        <w:autoSpaceDN w:val="0"/>
        <w:adjustRightInd w:val="0"/>
        <w:spacing w:after="0"/>
        <w:jc w:val="center"/>
        <w:rPr>
          <w:rFonts w:cs="Times-New-Roman"/>
        </w:rPr>
      </w:pPr>
      <w:r w:rsidRPr="007223FB">
        <w:rPr>
          <w:rFonts w:cs="Times-New-Roman"/>
          <w:noProof/>
          <w:lang w:eastAsia="es-GT"/>
        </w:rPr>
        <w:drawing>
          <wp:inline distT="0" distB="0" distL="0" distR="0" wp14:anchorId="3D3E12EF" wp14:editId="11693557">
            <wp:extent cx="4862195" cy="28820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9671" cy="2886452"/>
                    </a:xfrm>
                    <a:prstGeom prst="rect">
                      <a:avLst/>
                    </a:prstGeom>
                    <a:noFill/>
                  </pic:spPr>
                </pic:pic>
              </a:graphicData>
            </a:graphic>
          </wp:inline>
        </w:drawing>
      </w:r>
    </w:p>
    <w:p w:rsidR="00E176B1" w:rsidRPr="007223FB" w:rsidRDefault="00AC3077" w:rsidP="00E176B1">
      <w:pPr>
        <w:tabs>
          <w:tab w:val="center" w:pos="4362"/>
          <w:tab w:val="left" w:pos="6227"/>
        </w:tabs>
        <w:spacing w:after="0" w:line="240" w:lineRule="auto"/>
        <w:jc w:val="center"/>
        <w:rPr>
          <w:rFonts w:eastAsia="Times New Roman"/>
          <w:b/>
          <w:i/>
          <w:lang w:val="es-ES" w:eastAsia="zh-CN"/>
        </w:rPr>
      </w:pPr>
      <w:r w:rsidRPr="007223FB">
        <w:t>Fuente: Elaboración SEGEPLAN con base en datos del SICOIN</w:t>
      </w:r>
      <w:r w:rsidR="00E176B1" w:rsidRPr="007223FB">
        <w:t xml:space="preserve"> de fecha 5/9/2019</w:t>
      </w:r>
    </w:p>
    <w:p w:rsidR="00E176B1" w:rsidRPr="007223FB" w:rsidRDefault="00E176B1" w:rsidP="00E176B1">
      <w:pPr>
        <w:pStyle w:val="Sinespaciado"/>
        <w:ind w:right="4443"/>
        <w:jc w:val="center"/>
        <w:rPr>
          <w:rFonts w:ascii="Candara" w:hAnsi="Candara"/>
          <w:b/>
          <w:i/>
          <w:iCs/>
          <w:lang w:val="es-ES"/>
        </w:rPr>
      </w:pPr>
    </w:p>
    <w:p w:rsidR="00E176B1" w:rsidRPr="007223FB" w:rsidRDefault="00E176B1" w:rsidP="00881D85">
      <w:pPr>
        <w:autoSpaceDE w:val="0"/>
        <w:autoSpaceDN w:val="0"/>
        <w:adjustRightInd w:val="0"/>
        <w:spacing w:before="120" w:after="120" w:line="240" w:lineRule="auto"/>
      </w:pPr>
      <w:r w:rsidRPr="007223FB">
        <w:rPr>
          <w:lang w:val="es-ES" w:eastAsia="es-GT"/>
        </w:rPr>
        <w:t>La ejecución presupuestaria reportada evidencia debilidad en la ejecución porque la brecha de ejecución es de 55.65%,</w:t>
      </w:r>
      <w:r w:rsidRPr="007223FB">
        <w:t xml:space="preserve"> para ello se sugiere revisar la planificación y programación de los recursos </w:t>
      </w:r>
      <w:r w:rsidR="00305C06" w:rsidRPr="007223FB">
        <w:t xml:space="preserve">financieros </w:t>
      </w:r>
      <w:r w:rsidRPr="007223FB">
        <w:t>de los cuatro programa sustantivos, principalmente del progra</w:t>
      </w:r>
      <w:r w:rsidR="00305C06" w:rsidRPr="007223FB">
        <w:t xml:space="preserve">ma del deporte y la recreación, para no afectar el alcance de objetivos y resultados institucionales planteados. </w:t>
      </w:r>
    </w:p>
    <w:p w:rsidR="00E176B1" w:rsidRPr="007223FB" w:rsidRDefault="00E176B1" w:rsidP="00881D85">
      <w:pPr>
        <w:autoSpaceDE w:val="0"/>
        <w:autoSpaceDN w:val="0"/>
        <w:adjustRightInd w:val="0"/>
        <w:spacing w:before="120" w:after="120" w:line="240" w:lineRule="auto"/>
        <w:rPr>
          <w:rFonts w:cs="Arial"/>
        </w:rPr>
      </w:pPr>
      <w:r w:rsidRPr="007223FB">
        <w:t xml:space="preserve">Respecto a los proyectos de inversión pública, el MCD ha programado diecisiete proyectos de inversión pública, todos con código Snip, de los cuales cuatro proyectos han registrado avances siendo: a) </w:t>
      </w:r>
      <w:r w:rsidRPr="007223FB">
        <w:rPr>
          <w:rFonts w:cs="Arial"/>
        </w:rPr>
        <w:t xml:space="preserve">Construcción parque deportivo y recreativo Barrio Villa Hermosa, San Benito, Peten, con 100% de avances físico y financiero, b) Construcción instalaciones deportivas y recreativas centro dos </w:t>
      </w:r>
      <w:r w:rsidR="00636675">
        <w:rPr>
          <w:rFonts w:cs="Arial"/>
        </w:rPr>
        <w:t>P</w:t>
      </w:r>
      <w:r w:rsidRPr="007223FB">
        <w:rPr>
          <w:rFonts w:cs="Arial"/>
        </w:rPr>
        <w:t xml:space="preserve">arcelamiento </w:t>
      </w:r>
      <w:r w:rsidR="00636675">
        <w:rPr>
          <w:rFonts w:cs="Arial"/>
        </w:rPr>
        <w:t>L</w:t>
      </w:r>
      <w:r w:rsidRPr="007223FB">
        <w:rPr>
          <w:rFonts w:cs="Arial"/>
        </w:rPr>
        <w:t xml:space="preserve">a </w:t>
      </w:r>
      <w:r w:rsidR="00636675">
        <w:rPr>
          <w:rFonts w:cs="Arial"/>
        </w:rPr>
        <w:t>M</w:t>
      </w:r>
      <w:r w:rsidRPr="007223FB">
        <w:rPr>
          <w:rFonts w:cs="Arial"/>
        </w:rPr>
        <w:t xml:space="preserve">áquina, San </w:t>
      </w:r>
      <w:r w:rsidR="00AC3077" w:rsidRPr="007223FB">
        <w:rPr>
          <w:rFonts w:cs="Arial"/>
        </w:rPr>
        <w:t>Andrés</w:t>
      </w:r>
      <w:r w:rsidRPr="007223FB">
        <w:rPr>
          <w:rFonts w:cs="Arial"/>
        </w:rPr>
        <w:t xml:space="preserve"> Villa Seca, Retalhuleu, con 92.22 de avance físico y cero avance financiero, c) Construcción cancha polideportiva caserío la torera, aldea Santa Gertrudis, Agua Blanca, Jutiapa con 100% de avance físico y cero avance financiero y c) Construcción cancha polideportiva aldea el Paraíso, Palencia, Guatemala, con 84.42 de avance físico y cero avance financiero.</w:t>
      </w:r>
    </w:p>
    <w:p w:rsidR="00B27D73" w:rsidRPr="007223FB" w:rsidRDefault="00B77E42" w:rsidP="000B07D9">
      <w:pPr>
        <w:pStyle w:val="Prrafodelista"/>
        <w:numPr>
          <w:ilvl w:val="0"/>
          <w:numId w:val="5"/>
        </w:numPr>
        <w:spacing w:before="120" w:after="120" w:line="240" w:lineRule="auto"/>
        <w:contextualSpacing w:val="0"/>
        <w:rPr>
          <w:b/>
          <w:bCs/>
          <w:lang w:val="es-ES" w:eastAsia="es-GT"/>
        </w:rPr>
      </w:pPr>
      <w:r w:rsidRPr="007223FB">
        <w:rPr>
          <w:b/>
          <w:bCs/>
          <w:lang w:val="es-ES" w:eastAsia="es-GT"/>
        </w:rPr>
        <w:t>Ministerio de Comunicaciones, Infraestructura y Vivienda</w:t>
      </w:r>
      <w:r w:rsidR="00383522" w:rsidRPr="007223FB">
        <w:rPr>
          <w:b/>
          <w:bCs/>
          <w:lang w:val="es-ES" w:eastAsia="es-GT"/>
        </w:rPr>
        <w:t xml:space="preserve"> –MCIV-</w:t>
      </w:r>
    </w:p>
    <w:p w:rsidR="00B27D73" w:rsidRPr="007223FB" w:rsidRDefault="00B27D73" w:rsidP="00881D85">
      <w:pPr>
        <w:autoSpaceDE w:val="0"/>
        <w:autoSpaceDN w:val="0"/>
        <w:adjustRightInd w:val="0"/>
        <w:spacing w:before="120" w:after="120" w:line="240" w:lineRule="auto"/>
        <w:rPr>
          <w:rFonts w:cstheme="minorHAnsi"/>
          <w:color w:val="000000"/>
        </w:rPr>
      </w:pPr>
      <w:r w:rsidRPr="007223FB">
        <w:rPr>
          <w:rFonts w:cstheme="minorHAnsi"/>
          <w:color w:val="000000"/>
        </w:rPr>
        <w:t xml:space="preserve">El Ministerio de Comunicaciones, Infraestructura y Vivienda (MCIV) tiene como finalidad, administrar los servicios de diseño construcción, rehabilitación, mantenimiento y supervisión de las obras públicas e infraestructura, proponer instrumentos normativos de los sistemas de transporte terrestre, fluvial, marítimo, aéreo, frecuencias radiales, televisivas, de telecomunicaciones, correos, telégrafos, información meteorológica, proporcionar información de los servicios de dirección, </w:t>
      </w:r>
      <w:r w:rsidRPr="007223FB">
        <w:rPr>
          <w:rFonts w:cstheme="minorHAnsi"/>
          <w:color w:val="000000"/>
        </w:rPr>
        <w:lastRenderedPageBreak/>
        <w:t xml:space="preserve">unidades, institutos, superintendencias y fondos a su cargo según la  Ley del Organismo Ejecutivo. Cuenta con 15 unidades ejecutoras que sus esfuerzos van dirigidos al logro de Resultados.  </w:t>
      </w:r>
    </w:p>
    <w:p w:rsidR="00B27D73" w:rsidRPr="007223FB" w:rsidRDefault="00B27D73" w:rsidP="00881D85">
      <w:pPr>
        <w:autoSpaceDE w:val="0"/>
        <w:autoSpaceDN w:val="0"/>
        <w:adjustRightInd w:val="0"/>
        <w:spacing w:before="120" w:after="120" w:line="240" w:lineRule="auto"/>
        <w:rPr>
          <w:rFonts w:cstheme="minorHAnsi"/>
        </w:rPr>
      </w:pPr>
      <w:r w:rsidRPr="007223FB">
        <w:rPr>
          <w:rFonts w:cstheme="minorHAnsi"/>
        </w:rPr>
        <w:t xml:space="preserve">Además de tener la rectoría del Resultado </w:t>
      </w:r>
      <w:r w:rsidR="00383522" w:rsidRPr="007223FB">
        <w:rPr>
          <w:rFonts w:cstheme="minorHAnsi"/>
        </w:rPr>
        <w:t>Estratégico</w:t>
      </w:r>
      <w:r w:rsidRPr="007223FB">
        <w:rPr>
          <w:rFonts w:cstheme="minorHAnsi"/>
        </w:rPr>
        <w:t xml:space="preserve"> de País sobre vivienda presenta dos Resultados Institucionales: </w:t>
      </w:r>
    </w:p>
    <w:p w:rsidR="00B27D73" w:rsidRPr="007223FB" w:rsidRDefault="00B27D73" w:rsidP="00881D85">
      <w:pPr>
        <w:autoSpaceDE w:val="0"/>
        <w:autoSpaceDN w:val="0"/>
        <w:adjustRightInd w:val="0"/>
        <w:spacing w:before="120" w:after="120" w:line="240" w:lineRule="auto"/>
        <w:rPr>
          <w:rFonts w:cstheme="minorHAnsi"/>
        </w:rPr>
      </w:pPr>
      <w:r w:rsidRPr="007223FB">
        <w:rPr>
          <w:rFonts w:cstheme="minorHAnsi"/>
        </w:rPr>
        <w:t xml:space="preserve">a) </w:t>
      </w:r>
      <w:r w:rsidRPr="007223FB">
        <w:rPr>
          <w:rFonts w:cs="Courier"/>
          <w:bCs/>
        </w:rPr>
        <w:t xml:space="preserve">Para el 2021 se ha incrementado en 1% anual la red vial asfaltada y registrada a nivel nacional de 1% en 2016 a 6% en 2021, </w:t>
      </w:r>
      <w:r w:rsidRPr="007223FB">
        <w:rPr>
          <w:rFonts w:cs="Times-New-Roman"/>
        </w:rPr>
        <w:t>La Dirección General de Caminos, reportó un producto: Red vial con servicios de mantenimiento, con una meta vigente de 2,088 kilómetros, con un avance de ejecución de 12.74%. L</w:t>
      </w:r>
      <w:r w:rsidRPr="007223FB">
        <w:rPr>
          <w:rFonts w:cs="Courier"/>
          <w:bCs/>
        </w:rPr>
        <w:t xml:space="preserve">a Unidad Ejecutora Conservación Vial, reportó un producto: Red vial terciaria con mantenimiento ejecución normal, con una meta vigente de 4,130 kilómetros, con un avance de ejecución de 13.32%. </w:t>
      </w:r>
      <w:r w:rsidRPr="007223FB">
        <w:rPr>
          <w:rFonts w:cs="Times-New-Roman"/>
        </w:rPr>
        <w:t xml:space="preserve">La </w:t>
      </w:r>
      <w:r w:rsidRPr="007223FB">
        <w:rPr>
          <w:bCs/>
          <w:color w:val="000000" w:themeColor="text1"/>
        </w:rPr>
        <w:t xml:space="preserve">unidad ejecutora Fondo Social de Solidaridad, reportó un producto: Mejoramiento de carreteras secundarias, con una meta vigente de 17.05 kilómetros, con un avance de ejecución de 3.23%. </w:t>
      </w:r>
    </w:p>
    <w:p w:rsidR="00B27D73" w:rsidRPr="007223FB" w:rsidRDefault="00B27D73" w:rsidP="00881D85">
      <w:pPr>
        <w:autoSpaceDE w:val="0"/>
        <w:autoSpaceDN w:val="0"/>
        <w:adjustRightInd w:val="0"/>
        <w:spacing w:before="120" w:after="120" w:line="240" w:lineRule="auto"/>
        <w:rPr>
          <w:rFonts w:cs="Courier"/>
          <w:bCs/>
        </w:rPr>
      </w:pPr>
      <w:r w:rsidRPr="007223FB">
        <w:rPr>
          <w:rFonts w:cstheme="minorHAnsi"/>
        </w:rPr>
        <w:t xml:space="preserve">b) </w:t>
      </w:r>
      <w:r w:rsidRPr="007223FB">
        <w:rPr>
          <w:rFonts w:cs="Courier"/>
          <w:bCs/>
        </w:rPr>
        <w:t xml:space="preserve">Para el 2021 se ha incrementado en 1 % anual la red vial de caminos rurales a nivel nacional De 1 % en 2016 a 6 % en 2021, </w:t>
      </w:r>
      <w:r w:rsidRPr="007223FB">
        <w:rPr>
          <w:rFonts w:cs="Times-New-Roman"/>
        </w:rPr>
        <w:t xml:space="preserve">La </w:t>
      </w:r>
      <w:r w:rsidRPr="007223FB">
        <w:rPr>
          <w:bCs/>
          <w:color w:val="000000" w:themeColor="text1"/>
        </w:rPr>
        <w:t>unidad ejecutora Fondo Social de Solidaridad, reportó un producto: Mejoramiento de caminos rurales, con una meta vigente 2,573 metros, con un avance de ejecución de 0%.</w:t>
      </w:r>
    </w:p>
    <w:p w:rsidR="00B27D73" w:rsidRPr="007223FB" w:rsidRDefault="00B27D73" w:rsidP="00881D85">
      <w:pPr>
        <w:autoSpaceDE w:val="0"/>
        <w:autoSpaceDN w:val="0"/>
        <w:adjustRightInd w:val="0"/>
        <w:spacing w:before="120" w:after="120" w:line="240" w:lineRule="auto"/>
        <w:rPr>
          <w:rFonts w:cs="Arial"/>
        </w:rPr>
      </w:pPr>
      <w:r w:rsidRPr="007223FB">
        <w:rPr>
          <w:rFonts w:cs="Courier"/>
          <w:bCs/>
        </w:rPr>
        <w:t xml:space="preserve">La unidad ejecutora Dirección General de Transporte registra “Sin Resultado”, un producto: </w:t>
      </w:r>
      <w:r w:rsidRPr="007223FB">
        <w:rPr>
          <w:rFonts w:cs="Arial"/>
        </w:rPr>
        <w:t>Regulación de transporte extraurbano y de carga por carretera, con una meta vigente de 17,590 Documentos, con un avance de ejecución de 42.96%.</w:t>
      </w:r>
    </w:p>
    <w:p w:rsidR="00B27D73" w:rsidRPr="007223FB" w:rsidRDefault="00B27D73" w:rsidP="00881D85">
      <w:pPr>
        <w:autoSpaceDE w:val="0"/>
        <w:autoSpaceDN w:val="0"/>
        <w:adjustRightInd w:val="0"/>
        <w:spacing w:before="120" w:after="120" w:line="240" w:lineRule="auto"/>
        <w:rPr>
          <w:rFonts w:cs="Arial"/>
        </w:rPr>
      </w:pPr>
      <w:r w:rsidRPr="007223FB">
        <w:rPr>
          <w:rFonts w:cs="Arial"/>
        </w:rPr>
        <w:t>La unidad ejecutora Dirección General de Aeronáutica Civil registra “Sin Resultado”, tres productos: 1. Aeronaves con servicios operativos de aviación y soporte técnico, con una meta vigente de 66,286 Aeronaves, con un avance de ejecución de 31.02%. 2. Infraestructura de la red aeroportuaria nacional con servicios de mantenimiento, con una meta vigente de 153,472 Metros cuadrados, con un avance de ejecución de 26.13%. 3. Aeronaves con servicios de aeronavegabilidad, con una meta vigente de 6,960 aeronaves, con un avance de ejecución de 33.06%.</w:t>
      </w:r>
    </w:p>
    <w:p w:rsidR="00B27D73" w:rsidRPr="007223FB" w:rsidRDefault="00B27D73" w:rsidP="00881D85">
      <w:pPr>
        <w:autoSpaceDE w:val="0"/>
        <w:autoSpaceDN w:val="0"/>
        <w:adjustRightInd w:val="0"/>
        <w:spacing w:before="120" w:after="120" w:line="240" w:lineRule="auto"/>
        <w:rPr>
          <w:rFonts w:cs="Arial"/>
          <w:color w:val="000000" w:themeColor="text1"/>
        </w:rPr>
      </w:pPr>
      <w:r w:rsidRPr="007223FB">
        <w:rPr>
          <w:rFonts w:cs="Courier"/>
          <w:bCs/>
          <w:color w:val="000000" w:themeColor="text1"/>
        </w:rPr>
        <w:t xml:space="preserve">La unidad ejecutora Construcción de Edificios del Estado registra “Sin Resultado”, tres productos: 1. </w:t>
      </w:r>
      <w:r w:rsidRPr="007223FB">
        <w:rPr>
          <w:rFonts w:cs="Arial"/>
          <w:color w:val="000000" w:themeColor="text1"/>
        </w:rPr>
        <w:t xml:space="preserve">Ampliación escuela primaria. 2. Ampliación de establecimientos de educación diversificada. 3. Mejoramiento de edificios de salud. Sin embargo, no registró la meta física vigente, presupuesto vigente y sus avances. </w:t>
      </w:r>
    </w:p>
    <w:p w:rsidR="00B27D73" w:rsidRPr="007223FB" w:rsidRDefault="00B27D73" w:rsidP="00881D85">
      <w:pPr>
        <w:autoSpaceDE w:val="0"/>
        <w:autoSpaceDN w:val="0"/>
        <w:adjustRightInd w:val="0"/>
        <w:spacing w:before="120" w:after="120" w:line="240" w:lineRule="auto"/>
        <w:rPr>
          <w:rFonts w:cs="Arial"/>
        </w:rPr>
      </w:pPr>
      <w:r w:rsidRPr="007223FB">
        <w:rPr>
          <w:rFonts w:cs="Courier"/>
          <w:bCs/>
        </w:rPr>
        <w:t xml:space="preserve">La unidad ejecutora Dirección General de Radiodifusión y Televisión Nacional registra “Sin Resultado”, dos productos: 1. </w:t>
      </w:r>
      <w:r w:rsidRPr="007223FB">
        <w:rPr>
          <w:rFonts w:cs="Arial"/>
        </w:rPr>
        <w:t>Personas individuales y jurídicas registradas en radiodifusión y televisión, con una meta vigente de 1,644 Personas, con un avance de ejecución de 22.02%. 2</w:t>
      </w:r>
      <w:r w:rsidRPr="007223FB">
        <w:rPr>
          <w:rFonts w:cs="Times-New-Roman"/>
        </w:rPr>
        <w:t xml:space="preserve">. </w:t>
      </w:r>
      <w:r w:rsidRPr="007223FB">
        <w:rPr>
          <w:rFonts w:cs="Arial"/>
        </w:rPr>
        <w:t>Servicios de radiodifusión, con una meta vigente de 54,318 Eventos, con un avance de ejecución de 30.67%.</w:t>
      </w:r>
    </w:p>
    <w:p w:rsidR="00B27D73" w:rsidRPr="007223FB" w:rsidRDefault="00B27D73" w:rsidP="00881D85">
      <w:pPr>
        <w:tabs>
          <w:tab w:val="center" w:pos="4362"/>
        </w:tabs>
        <w:spacing w:before="120" w:after="120" w:line="240" w:lineRule="auto"/>
        <w:rPr>
          <w:bCs/>
          <w:color w:val="000000" w:themeColor="text1"/>
        </w:rPr>
      </w:pPr>
      <w:r w:rsidRPr="007223FB">
        <w:rPr>
          <w:bCs/>
          <w:color w:val="000000" w:themeColor="text1"/>
        </w:rPr>
        <w:t xml:space="preserve">La unidad ejecutora de Control y Supervisión De Cable registra “Sin Resultado”, un producto: 1. Empresas de cable con registro y supervisión, con una meta vigente de 2,270 Entidades, con un avance de ejecución de 36.70%. </w:t>
      </w:r>
    </w:p>
    <w:p w:rsidR="00B27D73" w:rsidRPr="007223FB" w:rsidRDefault="00B27D73" w:rsidP="00881D85">
      <w:pPr>
        <w:tabs>
          <w:tab w:val="center" w:pos="4362"/>
        </w:tabs>
        <w:spacing w:before="120" w:after="120" w:line="240" w:lineRule="auto"/>
        <w:rPr>
          <w:rFonts w:cs="Arial"/>
          <w:color w:val="000000" w:themeColor="text1"/>
        </w:rPr>
      </w:pPr>
      <w:r w:rsidRPr="007223FB">
        <w:rPr>
          <w:bCs/>
          <w:color w:val="000000" w:themeColor="text1"/>
        </w:rPr>
        <w:t xml:space="preserve">La unidad ejecutora Instituto Nacional De Sismología, Vulcanología, Meteorología e Hidrología registra “Sin Resultado”, tres productos: 1. </w:t>
      </w:r>
      <w:r w:rsidRPr="007223FB">
        <w:rPr>
          <w:rFonts w:cs="Arial"/>
        </w:rPr>
        <w:t xml:space="preserve">Boletín con información climática, con una meta vigente de 14,544 Documentos, con un avance de ejecución de 36.30%. 2. Información de amenaza sísmica y volcánica registrada, con una meta vigente de 8,041 Documentos, con un avance de ejecución de 33.58%. </w:t>
      </w:r>
      <w:r w:rsidRPr="007223FB">
        <w:rPr>
          <w:rFonts w:cs="Arial"/>
          <w:color w:val="000000" w:themeColor="text1"/>
        </w:rPr>
        <w:t xml:space="preserve">3. Información de actividad hidrológica registrada, con una meta vigente de 3,189 Documentos, con un avance de ejecución de 38.95%. </w:t>
      </w:r>
    </w:p>
    <w:p w:rsidR="00B27D73" w:rsidRPr="007223FB" w:rsidRDefault="00B27D73" w:rsidP="00881D85">
      <w:pPr>
        <w:tabs>
          <w:tab w:val="center" w:pos="4362"/>
        </w:tabs>
        <w:spacing w:before="120" w:after="120" w:line="240" w:lineRule="auto"/>
        <w:rPr>
          <w:rFonts w:cs="Arial"/>
        </w:rPr>
      </w:pPr>
      <w:r w:rsidRPr="007223FB">
        <w:rPr>
          <w:bCs/>
          <w:color w:val="000000" w:themeColor="text1"/>
        </w:rPr>
        <w:lastRenderedPageBreak/>
        <w:t xml:space="preserve">La unidad ejecutora Dirección General De Correos y Telégrafos registra “Sin Resultado”, un producto: 1. </w:t>
      </w:r>
      <w:r w:rsidRPr="007223FB">
        <w:rPr>
          <w:rFonts w:cs="Arial"/>
        </w:rPr>
        <w:t xml:space="preserve">Personas Individuales y/o Jurídicas con servicios postales otorgados, con una meta vigente de 421,251 Personas, con un avance de ejecución de 11.44%. </w:t>
      </w:r>
    </w:p>
    <w:p w:rsidR="00B27D73" w:rsidRPr="007223FB" w:rsidRDefault="00B27D73" w:rsidP="00881D85">
      <w:pPr>
        <w:tabs>
          <w:tab w:val="center" w:pos="4362"/>
        </w:tabs>
        <w:spacing w:before="120" w:after="120" w:line="240" w:lineRule="auto"/>
        <w:rPr>
          <w:bCs/>
          <w:color w:val="000000" w:themeColor="text1"/>
        </w:rPr>
      </w:pPr>
      <w:r w:rsidRPr="007223FB">
        <w:rPr>
          <w:bCs/>
          <w:color w:val="000000" w:themeColor="text1"/>
        </w:rPr>
        <w:t xml:space="preserve">La unidad ejecutora Superintendencia De Telecomunicaciones registra “Sin Resultado”, dos productos: 1. </w:t>
      </w:r>
      <w:r w:rsidRPr="007223FB">
        <w:rPr>
          <w:rFonts w:cs="Arial"/>
        </w:rPr>
        <w:t xml:space="preserve">Proveedores usuarios y usufructuarios de frecuencias, con una meta vigente de 22 Documentos, con un avance de ejecución de 54.55%. 2. Recursos de telefonía regulados, con una meta vigente de 5,325 Documentos, con un avance de ejecución de 46.57%. </w:t>
      </w:r>
    </w:p>
    <w:p w:rsidR="00B27D73" w:rsidRPr="007223FB" w:rsidRDefault="00B27D73" w:rsidP="00881D85">
      <w:pPr>
        <w:tabs>
          <w:tab w:val="center" w:pos="4362"/>
        </w:tabs>
        <w:spacing w:before="120" w:after="120" w:line="240" w:lineRule="auto"/>
        <w:rPr>
          <w:rFonts w:cs="Arial"/>
        </w:rPr>
      </w:pPr>
      <w:r w:rsidRPr="007223FB">
        <w:rPr>
          <w:bCs/>
          <w:color w:val="000000" w:themeColor="text1"/>
        </w:rPr>
        <w:t xml:space="preserve">La unidad ejecutora Fondo Para El Desarrollo De La Telefonía registra “Sin Resultado”, un producto: 1. </w:t>
      </w:r>
      <w:r w:rsidRPr="007223FB">
        <w:rPr>
          <w:rFonts w:cs="Arial"/>
        </w:rPr>
        <w:t>Personas beneficiadas con proyectos supervisión de telefonía y conectividad subsidiados, con una meta vigente de 20 personas, con un avance de ejecución de 35%.</w:t>
      </w:r>
    </w:p>
    <w:p w:rsidR="00B27D73" w:rsidRPr="007223FB" w:rsidRDefault="00B27D73" w:rsidP="00881D85">
      <w:pPr>
        <w:tabs>
          <w:tab w:val="center" w:pos="4362"/>
        </w:tabs>
        <w:spacing w:before="120" w:after="120" w:line="240" w:lineRule="auto"/>
        <w:rPr>
          <w:rFonts w:cs="Arial"/>
        </w:rPr>
      </w:pPr>
      <w:r w:rsidRPr="007223FB">
        <w:rPr>
          <w:bCs/>
          <w:color w:val="000000" w:themeColor="text1"/>
        </w:rPr>
        <w:t>La unidad ejecutora Para El Desarrollo De Vivienda Popular registra “Sin Resultado”, un producto: 1.</w:t>
      </w:r>
      <w:r w:rsidRPr="007223FB">
        <w:rPr>
          <w:rFonts w:cs="Arial"/>
        </w:rPr>
        <w:t xml:space="preserve"> Familias beneficiadas con adjudicación de propiedad de vivienda, con una meta vigente de 2,800 familias con un avance de ejecución de 0%. </w:t>
      </w:r>
    </w:p>
    <w:p w:rsidR="00B27D73" w:rsidRPr="007223FB" w:rsidRDefault="00B27D73" w:rsidP="00881D85">
      <w:pPr>
        <w:tabs>
          <w:tab w:val="center" w:pos="4362"/>
        </w:tabs>
        <w:spacing w:before="120" w:after="120" w:line="240" w:lineRule="auto"/>
        <w:rPr>
          <w:rFonts w:cs="Arial"/>
        </w:rPr>
      </w:pPr>
      <w:r w:rsidRPr="007223FB">
        <w:rPr>
          <w:bCs/>
          <w:color w:val="000000" w:themeColor="text1"/>
        </w:rPr>
        <w:t>La unidad ejecutora Dirección General De Protección y Seguridad Vial registra “Sin Resultado”, un producto: 1.</w:t>
      </w:r>
      <w:r w:rsidRPr="007223FB">
        <w:rPr>
          <w:rFonts w:cs="Arial"/>
        </w:rPr>
        <w:t xml:space="preserve"> Conductores beneficiados con servicios de vigilancia y asistencia vial, con una meta vigente de 374,340 Personas, con un avance de ejecución de 0.08%.</w:t>
      </w:r>
    </w:p>
    <w:p w:rsidR="00B27D73" w:rsidRPr="00A17383" w:rsidRDefault="00B27D73" w:rsidP="00A17383">
      <w:pPr>
        <w:pStyle w:val="Ttulo4"/>
        <w:numPr>
          <w:ilvl w:val="0"/>
          <w:numId w:val="0"/>
        </w:numPr>
        <w:ind w:left="864"/>
        <w:rPr>
          <w:rFonts w:ascii="Candara" w:hAnsi="Candara"/>
          <w:b/>
          <w:color w:val="auto"/>
          <w:sz w:val="18"/>
        </w:rPr>
      </w:pPr>
      <w:bookmarkStart w:id="101" w:name="_Toc19524700"/>
      <w:r w:rsidRPr="00A17383">
        <w:rPr>
          <w:rFonts w:ascii="Candara" w:hAnsi="Candara"/>
          <w:b/>
          <w:color w:val="auto"/>
          <w:sz w:val="18"/>
        </w:rPr>
        <w:t xml:space="preserve">Cuadro </w:t>
      </w:r>
      <w:r w:rsidR="00A17383">
        <w:rPr>
          <w:rFonts w:ascii="Candara" w:hAnsi="Candara"/>
          <w:b/>
          <w:color w:val="auto"/>
          <w:sz w:val="18"/>
        </w:rPr>
        <w:t>1</w:t>
      </w:r>
      <w:r w:rsidR="009B30CD">
        <w:rPr>
          <w:rFonts w:ascii="Candara" w:hAnsi="Candara"/>
          <w:b/>
          <w:color w:val="auto"/>
          <w:sz w:val="18"/>
        </w:rPr>
        <w:t>4</w:t>
      </w:r>
      <w:r w:rsidR="00A17383">
        <w:rPr>
          <w:rFonts w:ascii="Candara" w:hAnsi="Candara"/>
          <w:b/>
          <w:color w:val="auto"/>
          <w:sz w:val="18"/>
        </w:rPr>
        <w:br/>
      </w:r>
      <w:r w:rsidRPr="00A17383">
        <w:rPr>
          <w:rFonts w:ascii="Candara" w:hAnsi="Candara"/>
          <w:b/>
          <w:color w:val="auto"/>
          <w:sz w:val="18"/>
        </w:rPr>
        <w:t>Ejecución presupuestaria por unidad ejecutora</w:t>
      </w:r>
      <w:r w:rsidR="00AB42B9" w:rsidRPr="00A17383">
        <w:rPr>
          <w:rFonts w:ascii="Candara" w:hAnsi="Candara"/>
          <w:b/>
          <w:color w:val="auto"/>
          <w:sz w:val="18"/>
        </w:rPr>
        <w:t>,</w:t>
      </w:r>
      <w:r w:rsidRPr="00A17383">
        <w:rPr>
          <w:rFonts w:ascii="Candara" w:hAnsi="Candara"/>
          <w:b/>
          <w:color w:val="auto"/>
          <w:sz w:val="18"/>
        </w:rPr>
        <w:t xml:space="preserve"> Ministerio de Comunicaciones,</w:t>
      </w:r>
      <w:r w:rsidR="00A17383">
        <w:rPr>
          <w:rFonts w:ascii="Candara" w:hAnsi="Candara"/>
          <w:b/>
          <w:color w:val="auto"/>
          <w:sz w:val="18"/>
        </w:rPr>
        <w:br/>
      </w:r>
      <w:r w:rsidRPr="00A17383">
        <w:rPr>
          <w:rFonts w:ascii="Candara" w:hAnsi="Candara"/>
          <w:b/>
          <w:color w:val="auto"/>
          <w:sz w:val="18"/>
        </w:rPr>
        <w:t>Infraestructura y Vivienda</w:t>
      </w:r>
      <w:r w:rsidR="00A17383">
        <w:rPr>
          <w:rFonts w:ascii="Candara" w:hAnsi="Candara"/>
          <w:b/>
          <w:color w:val="auto"/>
          <w:sz w:val="18"/>
        </w:rPr>
        <w:br/>
      </w:r>
      <w:r w:rsidRPr="00A17383">
        <w:rPr>
          <w:rFonts w:ascii="Candara" w:hAnsi="Candara"/>
          <w:b/>
          <w:color w:val="auto"/>
          <w:sz w:val="18"/>
        </w:rPr>
        <w:t>Mayo - Agosto 2019</w:t>
      </w:r>
      <w:r w:rsidR="00A17383">
        <w:rPr>
          <w:rFonts w:ascii="Candara" w:hAnsi="Candara"/>
          <w:b/>
          <w:color w:val="auto"/>
          <w:sz w:val="18"/>
        </w:rPr>
        <w:br/>
      </w:r>
      <w:r w:rsidRPr="00A17383">
        <w:rPr>
          <w:rFonts w:ascii="Candara" w:hAnsi="Candara"/>
          <w:b/>
          <w:color w:val="auto"/>
          <w:sz w:val="18"/>
        </w:rPr>
        <w:t>En millones de Q</w:t>
      </w:r>
      <w:bookmarkEnd w:id="101"/>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36"/>
        <w:gridCol w:w="984"/>
        <w:gridCol w:w="984"/>
        <w:gridCol w:w="1073"/>
        <w:gridCol w:w="1088"/>
        <w:gridCol w:w="1052"/>
        <w:gridCol w:w="1051"/>
      </w:tblGrid>
      <w:tr w:rsidR="00B27D73" w:rsidRPr="00881D85" w:rsidTr="00881D85">
        <w:trPr>
          <w:tblHeader/>
        </w:trPr>
        <w:tc>
          <w:tcPr>
            <w:tcW w:w="2736" w:type="dxa"/>
            <w:vMerge w:val="restart"/>
            <w:tcBorders>
              <w:top w:val="single" w:sz="4" w:space="0" w:color="FFFFFF"/>
              <w:left w:val="single" w:sz="4" w:space="0" w:color="FFFFFF"/>
              <w:right w:val="nil"/>
            </w:tcBorders>
            <w:shd w:val="clear" w:color="auto" w:fill="5B9BD5"/>
          </w:tcPr>
          <w:p w:rsidR="00B27D73" w:rsidRPr="00881D85" w:rsidRDefault="00B27D73" w:rsidP="00D4642F">
            <w:pPr>
              <w:tabs>
                <w:tab w:val="center" w:pos="4362"/>
              </w:tabs>
              <w:spacing w:after="0" w:line="240" w:lineRule="auto"/>
              <w:jc w:val="center"/>
              <w:rPr>
                <w:bCs/>
                <w:color w:val="000000" w:themeColor="text1"/>
                <w:sz w:val="20"/>
              </w:rPr>
            </w:pPr>
          </w:p>
          <w:p w:rsidR="00B27D73" w:rsidRPr="00881D85" w:rsidRDefault="00B27D73" w:rsidP="00D4642F">
            <w:pPr>
              <w:tabs>
                <w:tab w:val="center" w:pos="4362"/>
              </w:tabs>
              <w:spacing w:after="0" w:line="240" w:lineRule="auto"/>
              <w:jc w:val="center"/>
              <w:rPr>
                <w:b/>
                <w:bCs/>
                <w:color w:val="000000" w:themeColor="text1"/>
                <w:sz w:val="20"/>
              </w:rPr>
            </w:pPr>
            <w:r w:rsidRPr="00881D85">
              <w:rPr>
                <w:b/>
                <w:bCs/>
                <w:color w:val="FFFFFF" w:themeColor="background1"/>
                <w:sz w:val="20"/>
              </w:rPr>
              <w:t xml:space="preserve">Unidad Ejecutora </w:t>
            </w:r>
          </w:p>
        </w:tc>
        <w:tc>
          <w:tcPr>
            <w:tcW w:w="4129" w:type="dxa"/>
            <w:gridSpan w:val="4"/>
            <w:tcBorders>
              <w:top w:val="single" w:sz="4" w:space="0" w:color="FFFFFF"/>
              <w:left w:val="nil"/>
            </w:tcBorders>
            <w:shd w:val="clear" w:color="auto" w:fill="5B9BD5"/>
          </w:tcPr>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Avance</w:t>
            </w:r>
          </w:p>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 xml:space="preserve">Mayo-Agosto </w:t>
            </w:r>
          </w:p>
        </w:tc>
        <w:tc>
          <w:tcPr>
            <w:tcW w:w="2103" w:type="dxa"/>
            <w:gridSpan w:val="2"/>
            <w:tcBorders>
              <w:top w:val="single" w:sz="4" w:space="0" w:color="FFFFFF"/>
              <w:left w:val="nil"/>
            </w:tcBorders>
            <w:shd w:val="clear" w:color="auto" w:fill="5B9BD5"/>
          </w:tcPr>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Acumulado</w:t>
            </w:r>
          </w:p>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Enero-Agosto</w:t>
            </w:r>
          </w:p>
        </w:tc>
      </w:tr>
      <w:tr w:rsidR="00B27D73" w:rsidRPr="00881D85" w:rsidTr="00881D85">
        <w:trPr>
          <w:tblHeader/>
        </w:trPr>
        <w:tc>
          <w:tcPr>
            <w:tcW w:w="2736" w:type="dxa"/>
            <w:vMerge/>
            <w:tcBorders>
              <w:left w:val="single" w:sz="4" w:space="0" w:color="FFFFFF"/>
            </w:tcBorders>
            <w:shd w:val="clear" w:color="auto" w:fill="5B9BD5"/>
          </w:tcPr>
          <w:p w:rsidR="00B27D73" w:rsidRPr="00881D85" w:rsidRDefault="00B27D73" w:rsidP="00D4642F">
            <w:pPr>
              <w:tabs>
                <w:tab w:val="center" w:pos="4362"/>
              </w:tabs>
              <w:spacing w:after="0" w:line="240" w:lineRule="auto"/>
              <w:jc w:val="center"/>
              <w:rPr>
                <w:color w:val="000000" w:themeColor="text1"/>
                <w:sz w:val="20"/>
              </w:rPr>
            </w:pPr>
          </w:p>
        </w:tc>
        <w:tc>
          <w:tcPr>
            <w:tcW w:w="984"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Inicial</w:t>
            </w:r>
          </w:p>
        </w:tc>
        <w:tc>
          <w:tcPr>
            <w:tcW w:w="984"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Vigente</w:t>
            </w:r>
          </w:p>
        </w:tc>
        <w:tc>
          <w:tcPr>
            <w:tcW w:w="1073"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avance</w:t>
            </w:r>
          </w:p>
        </w:tc>
        <w:tc>
          <w:tcPr>
            <w:tcW w:w="1088"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 avance </w:t>
            </w:r>
          </w:p>
        </w:tc>
        <w:tc>
          <w:tcPr>
            <w:tcW w:w="1052"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Avance </w:t>
            </w:r>
          </w:p>
        </w:tc>
        <w:tc>
          <w:tcPr>
            <w:tcW w:w="1051"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 avance </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Dirección Superior</w:t>
            </w:r>
          </w:p>
        </w:tc>
        <w:tc>
          <w:tcPr>
            <w:tcW w:w="984"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rFonts w:cs="Arial"/>
                <w:color w:val="000000" w:themeColor="text1"/>
                <w:sz w:val="20"/>
              </w:rPr>
              <w:t>63.14</w:t>
            </w:r>
          </w:p>
        </w:tc>
        <w:tc>
          <w:tcPr>
            <w:tcW w:w="984"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76.64</w:t>
            </w:r>
          </w:p>
        </w:tc>
        <w:tc>
          <w:tcPr>
            <w:tcW w:w="1073"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29.32</w:t>
            </w:r>
          </w:p>
        </w:tc>
        <w:tc>
          <w:tcPr>
            <w:tcW w:w="1088"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38.26</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42.20</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55.07</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Dirección General De Caminos -DGC-</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3,110.56</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3,351.27</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1,073.22</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32.02</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2,119.60</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63.25</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Conservación Vial -Covial-</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1,344.04</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1,344.04</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229.45</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17.07</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366.58</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27.27</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Dirección General De Transportes -DGT-</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18.15</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18.15</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4.08</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22.47</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8.65</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47.66</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Dirección General De Aeronáutica Civil -DGAC-</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269.71</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228.71</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69.89</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30.56</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106.10</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46.39</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Unidad de Construcción De Edificios del Estado –UCEE-</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120.00</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96.00</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10.31</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10.74</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22.11</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23.03</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Dirección General De Radiodifusión y Televisión Nacional -TGW-</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12.00</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13.11</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3.01</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22.97</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6.10</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46.54</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 xml:space="preserve">Unidad de Control y Supervisión De Cable </w:t>
            </w:r>
          </w:p>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-Uncosu-</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7.19</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7.19</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1.94</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27.03</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3.66</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50.97</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Instituto Nacional De Sismología, Vulcanología, Meteorología e Hidrología –Insivumeh-</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66.45</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56.45</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12.16</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21.55</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21.20</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37.55</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Dirección General De Correos y Telégrafos</w:t>
            </w:r>
          </w:p>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-DGCT-</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43.41</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29.20</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5.80</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19.86</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11.74</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40.20</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bCs/>
                <w:color w:val="FFFFFF" w:themeColor="background1"/>
                <w:sz w:val="20"/>
              </w:rPr>
              <w:t xml:space="preserve">Superintendencia De </w:t>
            </w:r>
            <w:r w:rsidRPr="00881D85">
              <w:rPr>
                <w:bCs/>
                <w:color w:val="FFFFFF" w:themeColor="background1"/>
                <w:sz w:val="20"/>
              </w:rPr>
              <w:lastRenderedPageBreak/>
              <w:t>Telecomunicaciones -SIT-</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lastRenderedPageBreak/>
              <w:t>20.86</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 xml:space="preserve"> 20.86</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5.54</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26.57</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9.67</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46.37</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lastRenderedPageBreak/>
              <w:t>Fondo Para El Desarrollo De La Telefonía</w:t>
            </w:r>
          </w:p>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-Fondetel-</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8.00</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 xml:space="preserve"> 8.00</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2.06</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25.74</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3.84</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48.02</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Unidad Para El Desarrollo De Vivienda Popular</w:t>
            </w:r>
          </w:p>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-Udevipo-</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19.75</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28.26</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6.48</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22.93</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10.10</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35.75</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Dirección General De Protección y Seguridad Vial -Provial-</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 xml:space="preserve"> 92.57</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67.50</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15.54</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23.02</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30.36</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44.97</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Fondo Social de Solidaridad -FSS-</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283.14</w:t>
            </w:r>
          </w:p>
        </w:tc>
        <w:tc>
          <w:tcPr>
            <w:tcW w:w="984"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380.26</w:t>
            </w:r>
          </w:p>
        </w:tc>
        <w:tc>
          <w:tcPr>
            <w:tcW w:w="1073"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115.22</w:t>
            </w:r>
          </w:p>
        </w:tc>
        <w:tc>
          <w:tcPr>
            <w:tcW w:w="1088"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30.30</w:t>
            </w:r>
          </w:p>
        </w:tc>
        <w:tc>
          <w:tcPr>
            <w:tcW w:w="1052"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286.66</w:t>
            </w:r>
          </w:p>
        </w:tc>
        <w:tc>
          <w:tcPr>
            <w:tcW w:w="1051"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75.39</w:t>
            </w:r>
          </w:p>
        </w:tc>
      </w:tr>
      <w:tr w:rsidR="00B27D73" w:rsidRPr="00881D85" w:rsidTr="00881D85">
        <w:tc>
          <w:tcPr>
            <w:tcW w:w="2736"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bCs/>
                <w:color w:val="FFFFFF" w:themeColor="background1"/>
                <w:sz w:val="20"/>
              </w:rPr>
              <w:t>Fondo Para La Vivienda -Fopavi-</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574.40</w:t>
            </w:r>
          </w:p>
        </w:tc>
        <w:tc>
          <w:tcPr>
            <w:tcW w:w="984"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335.72</w:t>
            </w:r>
          </w:p>
        </w:tc>
        <w:tc>
          <w:tcPr>
            <w:tcW w:w="1073"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143.10</w:t>
            </w:r>
          </w:p>
        </w:tc>
        <w:tc>
          <w:tcPr>
            <w:tcW w:w="1088"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42.62</w:t>
            </w:r>
          </w:p>
        </w:tc>
        <w:tc>
          <w:tcPr>
            <w:tcW w:w="1052"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178.29</w:t>
            </w:r>
          </w:p>
        </w:tc>
        <w:tc>
          <w:tcPr>
            <w:tcW w:w="1051"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53.11</w:t>
            </w:r>
          </w:p>
        </w:tc>
      </w:tr>
    </w:tbl>
    <w:p w:rsidR="00B27D73" w:rsidRPr="007223FB" w:rsidRDefault="00B27D73" w:rsidP="00B27D73">
      <w:pPr>
        <w:jc w:val="left"/>
      </w:pPr>
      <w:r w:rsidRPr="007223FB">
        <w:t xml:space="preserve">Fuente: Elaboración </w:t>
      </w:r>
      <w:r w:rsidR="004A5DEC" w:rsidRPr="007223FB">
        <w:t>SEGEPLAN con base en datos del SICOIN</w:t>
      </w:r>
      <w:r w:rsidRPr="007223FB">
        <w:t xml:space="preserve"> al 06/09/19</w:t>
      </w:r>
    </w:p>
    <w:p w:rsidR="00B27D73" w:rsidRPr="007223FB" w:rsidRDefault="00B27D73" w:rsidP="00881D85">
      <w:pPr>
        <w:tabs>
          <w:tab w:val="center" w:pos="4362"/>
        </w:tabs>
        <w:spacing w:before="120" w:after="120" w:line="240" w:lineRule="auto"/>
        <w:rPr>
          <w:rFonts w:eastAsiaTheme="minorEastAsia"/>
          <w:color w:val="000000" w:themeColor="text1"/>
          <w:kern w:val="24"/>
          <w:lang w:eastAsia="es-GT"/>
        </w:rPr>
      </w:pPr>
      <w:r w:rsidRPr="007223FB">
        <w:rPr>
          <w:rFonts w:cs="Arial"/>
        </w:rPr>
        <w:t xml:space="preserve">Al segundo cuatrimestre del ejercicio fiscal 2019, el 31.25% de las unidades ejecutoras superan el </w:t>
      </w:r>
      <w:r w:rsidRPr="007223FB">
        <w:rPr>
          <w:rFonts w:cs="Arial"/>
          <w:color w:val="000000" w:themeColor="text1"/>
        </w:rPr>
        <w:t>50</w:t>
      </w:r>
      <w:r w:rsidRPr="007223FB">
        <w:rPr>
          <w:rFonts w:cs="Arial"/>
        </w:rPr>
        <w:t xml:space="preserve">% de ejecución, comparado al segundo cuatrimestre del ejercicio fiscal 2018 el 68.75% está por debajo del 50% de ejecución. </w:t>
      </w:r>
      <w:r w:rsidRPr="007223FB">
        <w:rPr>
          <w:rFonts w:eastAsiaTheme="minorEastAsia"/>
          <w:color w:val="000000" w:themeColor="text1"/>
          <w:kern w:val="24"/>
          <w:lang w:eastAsia="es-GT"/>
        </w:rPr>
        <w:t xml:space="preserve">Es de suma importancia que los recursos financieros, humanos y tecnologías estén dirigidos al alcance de resultados, así como, la producción institucional este dirigida al alcance de resultados, identificados en las intervenciones claves del Modelo Lógico de la Estrategia.  </w:t>
      </w:r>
    </w:p>
    <w:p w:rsidR="00B27D73" w:rsidRPr="007223FB" w:rsidRDefault="00B27D73" w:rsidP="00881D85">
      <w:pPr>
        <w:spacing w:before="120" w:after="120" w:line="240" w:lineRule="auto"/>
        <w:rPr>
          <w:rFonts w:cs="Candara"/>
          <w:color w:val="000000" w:themeColor="text1"/>
        </w:rPr>
      </w:pPr>
      <w:r w:rsidRPr="007223FB">
        <w:rPr>
          <w:color w:val="000000" w:themeColor="text1"/>
        </w:rPr>
        <w:t xml:space="preserve">En atención por desastres y calamidades públicas se registra un incremento de Q 139.55 millones, de un inicial de Q 291.04 millones, pasa a un vigente de Q 430.59 millones de los cuales ha ejecutado Q 181.96 millones equivalente a un 42.26% de avance. </w:t>
      </w:r>
      <w:r w:rsidRPr="007223FB">
        <w:rPr>
          <w:rFonts w:cs="Candara"/>
          <w:color w:val="000000" w:themeColor="text1"/>
        </w:rPr>
        <w:t xml:space="preserve">En el acumulado (enero-agosto) su ejecución fue de Q </w:t>
      </w:r>
      <w:r w:rsidRPr="007223FB">
        <w:rPr>
          <w:rFonts w:cs="Arial-Bold"/>
          <w:bCs/>
        </w:rPr>
        <w:t>310.83</w:t>
      </w:r>
      <w:r w:rsidRPr="007223FB">
        <w:rPr>
          <w:rFonts w:cs="Arial-Bold"/>
          <w:b/>
          <w:bCs/>
        </w:rPr>
        <w:t xml:space="preserve"> </w:t>
      </w:r>
      <w:r w:rsidRPr="007223FB">
        <w:rPr>
          <w:rFonts w:cs="Candara"/>
          <w:color w:val="000000" w:themeColor="text1"/>
        </w:rPr>
        <w:t xml:space="preserve">millones equivalente a un 72.19% de avance. Comparado al segundo cuatrimestre del 2018 donde no supero el 20% de avance, se denota eficiencia en el gasto </w:t>
      </w:r>
      <w:r w:rsidR="00AB42B9" w:rsidRPr="007223FB">
        <w:rPr>
          <w:rFonts w:cs="Candara"/>
          <w:color w:val="000000" w:themeColor="text1"/>
        </w:rPr>
        <w:t>público</w:t>
      </w:r>
      <w:r w:rsidRPr="007223FB">
        <w:rPr>
          <w:rFonts w:cs="Candara"/>
          <w:color w:val="000000" w:themeColor="text1"/>
        </w:rPr>
        <w:t xml:space="preserve"> al superar el 70% de avance al segundo cuatrimestre 2019.</w:t>
      </w:r>
    </w:p>
    <w:p w:rsidR="00B27D73" w:rsidRPr="00A17383" w:rsidRDefault="00B27D73" w:rsidP="00A17383">
      <w:pPr>
        <w:pStyle w:val="Ttulo4"/>
        <w:numPr>
          <w:ilvl w:val="0"/>
          <w:numId w:val="0"/>
        </w:numPr>
        <w:ind w:left="864"/>
        <w:rPr>
          <w:rFonts w:ascii="Candara" w:hAnsi="Candara"/>
          <w:b/>
          <w:color w:val="auto"/>
          <w:sz w:val="18"/>
        </w:rPr>
      </w:pPr>
      <w:bookmarkStart w:id="102" w:name="_Toc19524701"/>
      <w:r w:rsidRPr="00A17383">
        <w:rPr>
          <w:rFonts w:ascii="Candara" w:hAnsi="Candara"/>
          <w:b/>
          <w:color w:val="auto"/>
          <w:sz w:val="18"/>
        </w:rPr>
        <w:t>Cuadro</w:t>
      </w:r>
      <w:r w:rsidR="009B30CD">
        <w:rPr>
          <w:rFonts w:ascii="Candara" w:hAnsi="Candara"/>
          <w:b/>
          <w:color w:val="auto"/>
          <w:sz w:val="18"/>
        </w:rPr>
        <w:t xml:space="preserve"> 15</w:t>
      </w:r>
      <w:r w:rsidR="009B30CD">
        <w:rPr>
          <w:rFonts w:ascii="Candara" w:hAnsi="Candara"/>
          <w:b/>
          <w:color w:val="auto"/>
          <w:sz w:val="18"/>
        </w:rPr>
        <w:br/>
      </w:r>
      <w:r w:rsidRPr="00A17383">
        <w:rPr>
          <w:rFonts w:ascii="Candara" w:hAnsi="Candara"/>
          <w:b/>
          <w:color w:val="auto"/>
          <w:sz w:val="18"/>
        </w:rPr>
        <w:t xml:space="preserve">Ejecución presupuestaria, </w:t>
      </w:r>
      <w:r w:rsidR="00AB42B9" w:rsidRPr="00A17383">
        <w:rPr>
          <w:rFonts w:ascii="Candara" w:hAnsi="Candara"/>
          <w:b/>
          <w:color w:val="auto"/>
          <w:sz w:val="18"/>
        </w:rPr>
        <w:t>a</w:t>
      </w:r>
      <w:r w:rsidRPr="00A17383">
        <w:rPr>
          <w:rFonts w:ascii="Candara" w:hAnsi="Candara"/>
          <w:b/>
          <w:color w:val="auto"/>
          <w:sz w:val="18"/>
        </w:rPr>
        <w:t xml:space="preserve">tención a </w:t>
      </w:r>
      <w:r w:rsidR="00AB42B9" w:rsidRPr="00A17383">
        <w:rPr>
          <w:rFonts w:ascii="Candara" w:hAnsi="Candara"/>
          <w:b/>
          <w:color w:val="auto"/>
          <w:sz w:val="18"/>
        </w:rPr>
        <w:t>d</w:t>
      </w:r>
      <w:r w:rsidRPr="00A17383">
        <w:rPr>
          <w:rFonts w:ascii="Candara" w:hAnsi="Candara"/>
          <w:b/>
          <w:color w:val="auto"/>
          <w:sz w:val="18"/>
        </w:rPr>
        <w:t xml:space="preserve">esastres </w:t>
      </w:r>
      <w:r w:rsidR="00AB42B9" w:rsidRPr="00A17383">
        <w:rPr>
          <w:rFonts w:ascii="Candara" w:hAnsi="Candara"/>
          <w:b/>
          <w:color w:val="auto"/>
          <w:sz w:val="18"/>
        </w:rPr>
        <w:t>y calamidades públicas</w:t>
      </w:r>
      <w:r w:rsidR="009B30CD">
        <w:rPr>
          <w:rFonts w:ascii="Candara" w:hAnsi="Candara"/>
          <w:b/>
          <w:color w:val="auto"/>
          <w:sz w:val="18"/>
        </w:rPr>
        <w:br/>
      </w:r>
      <w:r w:rsidRPr="00A17383">
        <w:rPr>
          <w:rFonts w:ascii="Candara" w:hAnsi="Candara"/>
          <w:b/>
          <w:color w:val="auto"/>
          <w:sz w:val="18"/>
        </w:rPr>
        <w:t>Ministerio de Comunicaciones, Infraestructura y Vivienda</w:t>
      </w:r>
      <w:r w:rsidR="009B30CD">
        <w:rPr>
          <w:rFonts w:ascii="Candara" w:hAnsi="Candara"/>
          <w:b/>
          <w:color w:val="auto"/>
          <w:sz w:val="18"/>
        </w:rPr>
        <w:br/>
      </w:r>
      <w:r w:rsidRPr="00A17383">
        <w:rPr>
          <w:rFonts w:ascii="Candara" w:hAnsi="Candara"/>
          <w:b/>
          <w:color w:val="auto"/>
          <w:sz w:val="18"/>
        </w:rPr>
        <w:t>Mayo - Agosto 2019</w:t>
      </w:r>
      <w:r w:rsidR="009B30CD">
        <w:rPr>
          <w:rFonts w:ascii="Candara" w:hAnsi="Candara"/>
          <w:b/>
          <w:color w:val="auto"/>
          <w:sz w:val="18"/>
        </w:rPr>
        <w:br/>
      </w:r>
      <w:r w:rsidRPr="00A17383">
        <w:rPr>
          <w:rFonts w:ascii="Candara" w:hAnsi="Candara"/>
          <w:b/>
          <w:color w:val="auto"/>
          <w:sz w:val="18"/>
        </w:rPr>
        <w:t>En millones de Q</w:t>
      </w:r>
      <w:bookmarkEnd w:id="102"/>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89"/>
        <w:gridCol w:w="1062"/>
        <w:gridCol w:w="929"/>
        <w:gridCol w:w="992"/>
        <w:gridCol w:w="992"/>
        <w:gridCol w:w="993"/>
        <w:gridCol w:w="1036"/>
      </w:tblGrid>
      <w:tr w:rsidR="00B27D73" w:rsidRPr="00D4642F" w:rsidTr="00D4642F">
        <w:trPr>
          <w:trHeight w:val="246"/>
        </w:trPr>
        <w:tc>
          <w:tcPr>
            <w:tcW w:w="2889" w:type="dxa"/>
            <w:vMerge w:val="restart"/>
            <w:tcBorders>
              <w:top w:val="single" w:sz="4" w:space="0" w:color="FFFFFF"/>
              <w:left w:val="single" w:sz="4" w:space="0" w:color="FFFFFF"/>
              <w:right w:val="nil"/>
            </w:tcBorders>
            <w:shd w:val="clear" w:color="auto" w:fill="5B9BD5"/>
          </w:tcPr>
          <w:p w:rsidR="00B27D73" w:rsidRPr="00D4642F" w:rsidRDefault="00B27D73" w:rsidP="00D4642F">
            <w:pPr>
              <w:tabs>
                <w:tab w:val="center" w:pos="4362"/>
              </w:tabs>
              <w:spacing w:after="0" w:line="240" w:lineRule="auto"/>
              <w:jc w:val="center"/>
              <w:rPr>
                <w:b/>
                <w:bCs/>
                <w:color w:val="000000" w:themeColor="text1"/>
                <w:sz w:val="20"/>
              </w:rPr>
            </w:pPr>
            <w:r w:rsidRPr="00D4642F">
              <w:rPr>
                <w:b/>
                <w:bCs/>
                <w:color w:val="FFFFFF" w:themeColor="background1"/>
                <w:sz w:val="20"/>
              </w:rPr>
              <w:t xml:space="preserve">Unidad Ejecutora </w:t>
            </w:r>
          </w:p>
        </w:tc>
        <w:tc>
          <w:tcPr>
            <w:tcW w:w="3975" w:type="dxa"/>
            <w:gridSpan w:val="4"/>
            <w:tcBorders>
              <w:top w:val="single" w:sz="4" w:space="0" w:color="FFFFFF"/>
              <w:left w:val="nil"/>
              <w:right w:val="single" w:sz="4" w:space="0" w:color="FFFFFF"/>
            </w:tcBorders>
            <w:shd w:val="clear" w:color="auto" w:fill="5B9BD5"/>
          </w:tcPr>
          <w:p w:rsidR="00B27D73" w:rsidRPr="00D4642F" w:rsidRDefault="00B27D73" w:rsidP="00D4642F">
            <w:pPr>
              <w:tabs>
                <w:tab w:val="center" w:pos="4362"/>
              </w:tabs>
              <w:spacing w:after="0" w:line="240" w:lineRule="auto"/>
              <w:jc w:val="center"/>
              <w:rPr>
                <w:b/>
                <w:bCs/>
                <w:color w:val="FFFFFF" w:themeColor="background1"/>
                <w:sz w:val="20"/>
              </w:rPr>
            </w:pPr>
            <w:r w:rsidRPr="00D4642F">
              <w:rPr>
                <w:b/>
                <w:bCs/>
                <w:color w:val="FFFFFF" w:themeColor="background1"/>
                <w:sz w:val="20"/>
              </w:rPr>
              <w:t>Avance</w:t>
            </w:r>
          </w:p>
          <w:p w:rsidR="00B27D73" w:rsidRPr="00D4642F" w:rsidRDefault="00B27D73" w:rsidP="00D4642F">
            <w:pPr>
              <w:tabs>
                <w:tab w:val="center" w:pos="4362"/>
              </w:tabs>
              <w:spacing w:after="0" w:line="240" w:lineRule="auto"/>
              <w:jc w:val="center"/>
              <w:rPr>
                <w:b/>
                <w:bCs/>
                <w:color w:val="000000" w:themeColor="text1"/>
                <w:sz w:val="20"/>
              </w:rPr>
            </w:pPr>
            <w:r w:rsidRPr="00D4642F">
              <w:rPr>
                <w:b/>
                <w:bCs/>
                <w:color w:val="FFFFFF" w:themeColor="background1"/>
                <w:sz w:val="20"/>
              </w:rPr>
              <w:t>Mayo-Agosto</w:t>
            </w:r>
          </w:p>
        </w:tc>
        <w:tc>
          <w:tcPr>
            <w:tcW w:w="2029" w:type="dxa"/>
            <w:gridSpan w:val="2"/>
            <w:tcBorders>
              <w:top w:val="single" w:sz="4" w:space="0" w:color="FFFFFF"/>
              <w:left w:val="nil"/>
            </w:tcBorders>
            <w:shd w:val="clear" w:color="auto" w:fill="5B9BD5"/>
          </w:tcPr>
          <w:p w:rsidR="00B27D73" w:rsidRPr="00D4642F" w:rsidRDefault="00B27D73" w:rsidP="00D4642F">
            <w:pPr>
              <w:tabs>
                <w:tab w:val="center" w:pos="4362"/>
              </w:tabs>
              <w:spacing w:after="0" w:line="240" w:lineRule="auto"/>
              <w:jc w:val="center"/>
              <w:rPr>
                <w:b/>
                <w:bCs/>
                <w:color w:val="FFFFFF" w:themeColor="background1"/>
                <w:sz w:val="20"/>
              </w:rPr>
            </w:pPr>
            <w:r w:rsidRPr="00D4642F">
              <w:rPr>
                <w:b/>
                <w:bCs/>
                <w:color w:val="FFFFFF" w:themeColor="background1"/>
                <w:sz w:val="20"/>
              </w:rPr>
              <w:t>Acumulado</w:t>
            </w:r>
          </w:p>
          <w:p w:rsidR="00B27D73" w:rsidRPr="00D4642F" w:rsidRDefault="00B27D73" w:rsidP="00D4642F">
            <w:pPr>
              <w:tabs>
                <w:tab w:val="center" w:pos="4362"/>
              </w:tabs>
              <w:spacing w:after="0" w:line="240" w:lineRule="auto"/>
              <w:jc w:val="center"/>
              <w:rPr>
                <w:b/>
                <w:bCs/>
                <w:color w:val="FFFFFF" w:themeColor="background1"/>
                <w:sz w:val="20"/>
              </w:rPr>
            </w:pPr>
            <w:r w:rsidRPr="00D4642F">
              <w:rPr>
                <w:b/>
                <w:bCs/>
                <w:color w:val="FFFFFF" w:themeColor="background1"/>
                <w:sz w:val="20"/>
              </w:rPr>
              <w:t>Enero-Agosto</w:t>
            </w:r>
          </w:p>
        </w:tc>
      </w:tr>
      <w:tr w:rsidR="00B27D73" w:rsidRPr="00D4642F" w:rsidTr="00D4642F">
        <w:trPr>
          <w:trHeight w:val="53"/>
        </w:trPr>
        <w:tc>
          <w:tcPr>
            <w:tcW w:w="2889" w:type="dxa"/>
            <w:vMerge/>
            <w:tcBorders>
              <w:left w:val="single" w:sz="4" w:space="0" w:color="FFFFFF"/>
            </w:tcBorders>
            <w:shd w:val="clear" w:color="auto" w:fill="5B9BD5"/>
          </w:tcPr>
          <w:p w:rsidR="00B27D73" w:rsidRPr="00D4642F" w:rsidRDefault="00B27D73" w:rsidP="00D4642F">
            <w:pPr>
              <w:tabs>
                <w:tab w:val="center" w:pos="4362"/>
              </w:tabs>
              <w:spacing w:after="0" w:line="240" w:lineRule="auto"/>
              <w:jc w:val="center"/>
              <w:rPr>
                <w:color w:val="000000" w:themeColor="text1"/>
                <w:sz w:val="20"/>
              </w:rPr>
            </w:pPr>
          </w:p>
        </w:tc>
        <w:tc>
          <w:tcPr>
            <w:tcW w:w="1062" w:type="dxa"/>
            <w:shd w:val="clear" w:color="auto" w:fill="BDD6EE"/>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Inicial</w:t>
            </w:r>
          </w:p>
        </w:tc>
        <w:tc>
          <w:tcPr>
            <w:tcW w:w="929" w:type="dxa"/>
            <w:shd w:val="clear" w:color="auto" w:fill="BDD6EE"/>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 xml:space="preserve">Vigente  </w:t>
            </w:r>
          </w:p>
        </w:tc>
        <w:tc>
          <w:tcPr>
            <w:tcW w:w="992" w:type="dxa"/>
            <w:shd w:val="clear" w:color="auto" w:fill="BDD6EE"/>
          </w:tcPr>
          <w:p w:rsidR="00B27D73" w:rsidRPr="00D4642F" w:rsidRDefault="00B27D73" w:rsidP="00D4642F">
            <w:pPr>
              <w:tabs>
                <w:tab w:val="center" w:pos="4362"/>
              </w:tabs>
              <w:spacing w:after="0" w:line="240" w:lineRule="auto"/>
              <w:jc w:val="left"/>
              <w:rPr>
                <w:color w:val="000000" w:themeColor="text1"/>
                <w:sz w:val="20"/>
              </w:rPr>
            </w:pPr>
            <w:r w:rsidRPr="00D4642F">
              <w:rPr>
                <w:color w:val="000000" w:themeColor="text1"/>
                <w:sz w:val="20"/>
              </w:rPr>
              <w:t xml:space="preserve">Avance </w:t>
            </w:r>
          </w:p>
        </w:tc>
        <w:tc>
          <w:tcPr>
            <w:tcW w:w="992" w:type="dxa"/>
            <w:shd w:val="clear" w:color="auto" w:fill="BDD6EE"/>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 avance</w:t>
            </w:r>
          </w:p>
        </w:tc>
        <w:tc>
          <w:tcPr>
            <w:tcW w:w="993" w:type="dxa"/>
            <w:shd w:val="clear" w:color="auto" w:fill="BDD6EE"/>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 xml:space="preserve">Avance </w:t>
            </w:r>
          </w:p>
        </w:tc>
        <w:tc>
          <w:tcPr>
            <w:tcW w:w="1036" w:type="dxa"/>
            <w:shd w:val="clear" w:color="auto" w:fill="BDD6EE"/>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 xml:space="preserve">%  avance </w:t>
            </w:r>
          </w:p>
        </w:tc>
      </w:tr>
      <w:tr w:rsidR="00B27D73" w:rsidRPr="00D4642F" w:rsidTr="00D4642F">
        <w:trPr>
          <w:trHeight w:val="53"/>
        </w:trPr>
        <w:tc>
          <w:tcPr>
            <w:tcW w:w="2889" w:type="dxa"/>
            <w:tcBorders>
              <w:left w:val="single" w:sz="4" w:space="0" w:color="FFFFFF"/>
            </w:tcBorders>
            <w:shd w:val="clear" w:color="auto" w:fill="5B9BD5"/>
          </w:tcPr>
          <w:p w:rsidR="00B27D73" w:rsidRPr="00D4642F" w:rsidRDefault="00B27D73" w:rsidP="00D4642F">
            <w:pPr>
              <w:tabs>
                <w:tab w:val="center" w:pos="4362"/>
              </w:tabs>
              <w:spacing w:after="0" w:line="240" w:lineRule="auto"/>
              <w:jc w:val="left"/>
              <w:rPr>
                <w:color w:val="000000" w:themeColor="text1"/>
                <w:sz w:val="20"/>
              </w:rPr>
            </w:pPr>
            <w:r w:rsidRPr="00D4642F">
              <w:rPr>
                <w:rFonts w:cs="Arial-Bold"/>
                <w:bCs/>
                <w:sz w:val="20"/>
              </w:rPr>
              <w:t xml:space="preserve">Atención por desastres </w:t>
            </w:r>
          </w:p>
        </w:tc>
        <w:tc>
          <w:tcPr>
            <w:tcW w:w="1062"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rFonts w:cs="Arial"/>
                <w:sz w:val="20"/>
              </w:rPr>
              <w:t xml:space="preserve"> </w:t>
            </w:r>
            <w:r w:rsidRPr="00D4642F">
              <w:rPr>
                <w:rFonts w:cs="Arial-Bold"/>
                <w:bCs/>
                <w:sz w:val="20"/>
              </w:rPr>
              <w:t>279.34</w:t>
            </w:r>
          </w:p>
        </w:tc>
        <w:tc>
          <w:tcPr>
            <w:tcW w:w="929"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408.32</w:t>
            </w:r>
          </w:p>
        </w:tc>
        <w:tc>
          <w:tcPr>
            <w:tcW w:w="992"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170.68</w:t>
            </w:r>
          </w:p>
        </w:tc>
        <w:tc>
          <w:tcPr>
            <w:tcW w:w="992"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41.80</w:t>
            </w:r>
          </w:p>
        </w:tc>
        <w:tc>
          <w:tcPr>
            <w:tcW w:w="993"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297.61</w:t>
            </w:r>
          </w:p>
        </w:tc>
        <w:tc>
          <w:tcPr>
            <w:tcW w:w="1036"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72.89</w:t>
            </w:r>
          </w:p>
        </w:tc>
      </w:tr>
      <w:tr w:rsidR="00B27D73" w:rsidRPr="00D4642F" w:rsidTr="00881D85">
        <w:tc>
          <w:tcPr>
            <w:tcW w:w="2889" w:type="dxa"/>
            <w:tcBorders>
              <w:left w:val="single" w:sz="4" w:space="0" w:color="FFFFFF"/>
            </w:tcBorders>
            <w:shd w:val="clear" w:color="auto" w:fill="5B9BD5"/>
          </w:tcPr>
          <w:p w:rsidR="00B27D73" w:rsidRPr="00D4642F" w:rsidRDefault="00B27D73" w:rsidP="00D4642F">
            <w:pPr>
              <w:tabs>
                <w:tab w:val="center" w:pos="4362"/>
              </w:tabs>
              <w:spacing w:after="0" w:line="240" w:lineRule="auto"/>
              <w:jc w:val="left"/>
              <w:rPr>
                <w:rFonts w:cs="Arial-Bold"/>
                <w:bCs/>
                <w:sz w:val="20"/>
              </w:rPr>
            </w:pPr>
            <w:r w:rsidRPr="00D4642F">
              <w:rPr>
                <w:rFonts w:cs="Arial-Bold"/>
                <w:bCs/>
                <w:sz w:val="20"/>
              </w:rPr>
              <w:t xml:space="preserve">Tormenta Tropical Stan </w:t>
            </w:r>
          </w:p>
        </w:tc>
        <w:tc>
          <w:tcPr>
            <w:tcW w:w="1062" w:type="dxa"/>
            <w:shd w:val="clear" w:color="auto" w:fill="DEEAF6"/>
          </w:tcPr>
          <w:p w:rsidR="00B27D73" w:rsidRPr="00D4642F" w:rsidRDefault="00B27D73" w:rsidP="00D4642F">
            <w:pPr>
              <w:tabs>
                <w:tab w:val="center" w:pos="4362"/>
              </w:tabs>
              <w:spacing w:after="0" w:line="240" w:lineRule="auto"/>
              <w:jc w:val="center"/>
              <w:rPr>
                <w:rFonts w:cs="Arial"/>
                <w:sz w:val="20"/>
              </w:rPr>
            </w:pPr>
            <w:r w:rsidRPr="00D4642F">
              <w:rPr>
                <w:rFonts w:cs="Arial"/>
                <w:sz w:val="20"/>
              </w:rPr>
              <w:t>0.00</w:t>
            </w:r>
          </w:p>
        </w:tc>
        <w:tc>
          <w:tcPr>
            <w:tcW w:w="929"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2.46</w:t>
            </w:r>
          </w:p>
        </w:tc>
        <w:tc>
          <w:tcPr>
            <w:tcW w:w="992"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1.05</w:t>
            </w:r>
          </w:p>
        </w:tc>
        <w:tc>
          <w:tcPr>
            <w:tcW w:w="992" w:type="dxa"/>
            <w:shd w:val="clear" w:color="auto" w:fill="DEEAF6"/>
          </w:tcPr>
          <w:p w:rsidR="00B27D73" w:rsidRPr="00D4642F" w:rsidRDefault="00B27D73" w:rsidP="00D4642F">
            <w:pPr>
              <w:tabs>
                <w:tab w:val="center" w:pos="4362"/>
              </w:tabs>
              <w:spacing w:after="0" w:line="240" w:lineRule="auto"/>
              <w:jc w:val="center"/>
              <w:rPr>
                <w:color w:val="000000" w:themeColor="text1"/>
                <w:sz w:val="20"/>
              </w:rPr>
            </w:pPr>
            <w:r w:rsidRPr="00D4642F">
              <w:rPr>
                <w:color w:val="000000" w:themeColor="text1"/>
                <w:sz w:val="20"/>
              </w:rPr>
              <w:t>42.67</w:t>
            </w:r>
          </w:p>
        </w:tc>
        <w:tc>
          <w:tcPr>
            <w:tcW w:w="993"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1.05</w:t>
            </w:r>
          </w:p>
        </w:tc>
        <w:tc>
          <w:tcPr>
            <w:tcW w:w="1036"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42.67</w:t>
            </w:r>
          </w:p>
        </w:tc>
      </w:tr>
      <w:tr w:rsidR="00B27D73" w:rsidRPr="00D4642F" w:rsidTr="00881D85">
        <w:tc>
          <w:tcPr>
            <w:tcW w:w="2889" w:type="dxa"/>
            <w:tcBorders>
              <w:left w:val="single" w:sz="4" w:space="0" w:color="FFFFFF"/>
            </w:tcBorders>
            <w:shd w:val="clear" w:color="auto" w:fill="5B9BD5"/>
          </w:tcPr>
          <w:p w:rsidR="00B27D73" w:rsidRPr="00D4642F" w:rsidRDefault="00B27D73" w:rsidP="00D4642F">
            <w:pPr>
              <w:tabs>
                <w:tab w:val="center" w:pos="4362"/>
              </w:tabs>
              <w:spacing w:after="0" w:line="240" w:lineRule="auto"/>
              <w:jc w:val="left"/>
              <w:rPr>
                <w:color w:val="000000" w:themeColor="text1"/>
                <w:sz w:val="20"/>
              </w:rPr>
            </w:pPr>
            <w:r w:rsidRPr="00D4642F">
              <w:rPr>
                <w:color w:val="000000" w:themeColor="text1"/>
                <w:sz w:val="20"/>
              </w:rPr>
              <w:t xml:space="preserve">Partidas no asignables a programas </w:t>
            </w:r>
          </w:p>
        </w:tc>
        <w:tc>
          <w:tcPr>
            <w:tcW w:w="1062"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11.70</w:t>
            </w:r>
          </w:p>
        </w:tc>
        <w:tc>
          <w:tcPr>
            <w:tcW w:w="929"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19.82</w:t>
            </w:r>
          </w:p>
        </w:tc>
        <w:tc>
          <w:tcPr>
            <w:tcW w:w="992"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10.23</w:t>
            </w:r>
          </w:p>
        </w:tc>
        <w:tc>
          <w:tcPr>
            <w:tcW w:w="992" w:type="dxa"/>
            <w:shd w:val="clear" w:color="auto" w:fill="DEEAF6"/>
          </w:tcPr>
          <w:p w:rsidR="00B27D73" w:rsidRPr="00D4642F" w:rsidRDefault="00B27D73" w:rsidP="00D4642F">
            <w:pPr>
              <w:tabs>
                <w:tab w:val="center" w:pos="4362"/>
              </w:tabs>
              <w:spacing w:after="0" w:line="240" w:lineRule="auto"/>
              <w:jc w:val="center"/>
              <w:rPr>
                <w:rFonts w:cs="Arial"/>
                <w:color w:val="000000" w:themeColor="text1"/>
                <w:sz w:val="20"/>
              </w:rPr>
            </w:pPr>
            <w:r w:rsidRPr="00D4642F">
              <w:rPr>
                <w:rFonts w:cs="Arial"/>
                <w:color w:val="000000" w:themeColor="text1"/>
                <w:sz w:val="20"/>
              </w:rPr>
              <w:t>42.26</w:t>
            </w:r>
          </w:p>
        </w:tc>
        <w:tc>
          <w:tcPr>
            <w:tcW w:w="993" w:type="dxa"/>
            <w:shd w:val="clear" w:color="auto" w:fill="DEEAF6"/>
          </w:tcPr>
          <w:p w:rsidR="00B27D73" w:rsidRPr="00D4642F" w:rsidRDefault="00B27D73" w:rsidP="00D4642F">
            <w:pPr>
              <w:tabs>
                <w:tab w:val="center" w:pos="4362"/>
              </w:tabs>
              <w:spacing w:after="0" w:line="240" w:lineRule="auto"/>
              <w:jc w:val="center"/>
              <w:rPr>
                <w:rFonts w:cs="Arial-Bold"/>
                <w:bCs/>
                <w:sz w:val="20"/>
              </w:rPr>
            </w:pPr>
            <w:r w:rsidRPr="00D4642F">
              <w:rPr>
                <w:rFonts w:cs="Arial-Bold"/>
                <w:bCs/>
                <w:sz w:val="20"/>
              </w:rPr>
              <w:t>12.18</w:t>
            </w:r>
          </w:p>
        </w:tc>
        <w:tc>
          <w:tcPr>
            <w:tcW w:w="1036" w:type="dxa"/>
            <w:shd w:val="clear" w:color="auto" w:fill="DEEAF6"/>
          </w:tcPr>
          <w:p w:rsidR="00B27D73" w:rsidRPr="00D4642F" w:rsidRDefault="00B27D73" w:rsidP="00D4642F">
            <w:pPr>
              <w:tabs>
                <w:tab w:val="center" w:pos="4362"/>
              </w:tabs>
              <w:spacing w:after="0" w:line="240" w:lineRule="auto"/>
              <w:jc w:val="center"/>
              <w:rPr>
                <w:rFonts w:cs="Arial-Bold"/>
                <w:bCs/>
                <w:sz w:val="20"/>
              </w:rPr>
            </w:pPr>
            <w:r w:rsidRPr="00D4642F">
              <w:rPr>
                <w:rFonts w:cs="Arial-Bold"/>
                <w:bCs/>
                <w:sz w:val="20"/>
              </w:rPr>
              <w:t>61.44</w:t>
            </w:r>
          </w:p>
        </w:tc>
      </w:tr>
    </w:tbl>
    <w:p w:rsidR="00B27D73" w:rsidRPr="007223FB" w:rsidRDefault="00B27D73" w:rsidP="00B27D73">
      <w:pPr>
        <w:jc w:val="left"/>
        <w:rPr>
          <w:rFonts w:eastAsiaTheme="minorEastAsia"/>
          <w:color w:val="000000" w:themeColor="text1"/>
          <w:kern w:val="24"/>
          <w:lang w:eastAsia="es-GT"/>
        </w:rPr>
      </w:pPr>
      <w:r w:rsidRPr="007223FB">
        <w:t xml:space="preserve">Fuente: Elaboración </w:t>
      </w:r>
      <w:r w:rsidR="004A5DEC" w:rsidRPr="007223FB">
        <w:t>SEGEPLAN</w:t>
      </w:r>
      <w:r w:rsidRPr="007223FB">
        <w:t xml:space="preserve"> con</w:t>
      </w:r>
      <w:r w:rsidR="004A5DEC" w:rsidRPr="007223FB">
        <w:t xml:space="preserve"> base en datos del SICOIN</w:t>
      </w:r>
      <w:r w:rsidRPr="007223FB">
        <w:t xml:space="preserve"> al 06/09/19 </w:t>
      </w:r>
    </w:p>
    <w:p w:rsidR="00B27D73" w:rsidRPr="007223FB" w:rsidRDefault="00B27D73" w:rsidP="00881D85">
      <w:pPr>
        <w:spacing w:before="120" w:after="120" w:line="240" w:lineRule="auto"/>
        <w:rPr>
          <w:rFonts w:cstheme="minorHAnsi"/>
        </w:rPr>
      </w:pPr>
      <w:r w:rsidRPr="007223FB">
        <w:rPr>
          <w:rFonts w:cstheme="minorHAnsi"/>
        </w:rPr>
        <w:t xml:space="preserve">En lo que respecta a préstamos externos el MCIV, registra un incremento de Q 31.51 millones de un presupuesto inicial de Q </w:t>
      </w:r>
      <w:r w:rsidRPr="007223FB">
        <w:rPr>
          <w:rFonts w:cs="Arial-Bold"/>
          <w:bCs/>
        </w:rPr>
        <w:t>755.64</w:t>
      </w:r>
      <w:r w:rsidRPr="007223FB">
        <w:rPr>
          <w:rFonts w:cs="Arial-Bold"/>
          <w:b/>
          <w:bCs/>
        </w:rPr>
        <w:t xml:space="preserve"> </w:t>
      </w:r>
      <w:r w:rsidRPr="007223FB">
        <w:rPr>
          <w:rFonts w:cstheme="minorHAnsi"/>
        </w:rPr>
        <w:t>millones, a un presupuesto vigente de Q</w:t>
      </w:r>
      <w:r w:rsidRPr="007223FB">
        <w:rPr>
          <w:rFonts w:cs="Arial-Bold"/>
          <w:b/>
          <w:bCs/>
        </w:rPr>
        <w:t xml:space="preserve"> </w:t>
      </w:r>
      <w:r w:rsidRPr="007223FB">
        <w:rPr>
          <w:rFonts w:cs="Arial-Bold"/>
          <w:bCs/>
        </w:rPr>
        <w:t xml:space="preserve">787.15 </w:t>
      </w:r>
      <w:r w:rsidRPr="007223FB">
        <w:rPr>
          <w:rFonts w:cstheme="minorHAnsi"/>
        </w:rPr>
        <w:t>millones de los cuales ha ejecutado en el segundo cuatrimestre Q</w:t>
      </w:r>
      <w:r w:rsidRPr="007223FB">
        <w:rPr>
          <w:rFonts w:cs="Arial-Bold"/>
          <w:b/>
          <w:bCs/>
        </w:rPr>
        <w:t xml:space="preserve"> </w:t>
      </w:r>
      <w:r w:rsidRPr="007223FB">
        <w:rPr>
          <w:rFonts w:cs="Arial-Bold"/>
          <w:bCs/>
        </w:rPr>
        <w:t>231.23</w:t>
      </w:r>
      <w:r w:rsidRPr="007223FB">
        <w:rPr>
          <w:rFonts w:cstheme="minorHAnsi"/>
        </w:rPr>
        <w:t xml:space="preserve"> millones equivalente a un 29.38%. </w:t>
      </w:r>
      <w:r w:rsidRPr="007223FB">
        <w:rPr>
          <w:rFonts w:cs="Candara"/>
          <w:color w:val="000000" w:themeColor="text1"/>
        </w:rPr>
        <w:t xml:space="preserve">En el acumulado (enero-agosto) su ejecución fue de Q </w:t>
      </w:r>
      <w:r w:rsidRPr="007223FB">
        <w:rPr>
          <w:rFonts w:cs="Arial-Bold"/>
          <w:bCs/>
          <w:color w:val="000000" w:themeColor="text1"/>
        </w:rPr>
        <w:t>270.49</w:t>
      </w:r>
      <w:r w:rsidRPr="007223FB">
        <w:rPr>
          <w:rFonts w:cs="Arial-Bold"/>
          <w:b/>
          <w:bCs/>
          <w:color w:val="000000" w:themeColor="text1"/>
        </w:rPr>
        <w:t xml:space="preserve"> </w:t>
      </w:r>
      <w:r w:rsidRPr="007223FB">
        <w:rPr>
          <w:rFonts w:cs="Candara"/>
          <w:color w:val="000000" w:themeColor="text1"/>
        </w:rPr>
        <w:t>millones equivalente a un 34.36% de avance.</w:t>
      </w:r>
      <w:r w:rsidRPr="007223FB">
        <w:rPr>
          <w:color w:val="000000" w:themeColor="text1"/>
        </w:rPr>
        <w:t xml:space="preserve"> Considerando los bajos avances reportados al finalizar el segundo cuatrimestre, en los </w:t>
      </w:r>
      <w:r w:rsidRPr="007223FB">
        <w:rPr>
          <w:color w:val="000000" w:themeColor="text1"/>
        </w:rPr>
        <w:lastRenderedPageBreak/>
        <w:t xml:space="preserve">próximos meses deberá ejecutar un 65.64%. </w:t>
      </w:r>
      <w:r w:rsidRPr="007223FB">
        <w:rPr>
          <w:rFonts w:cstheme="minorHAnsi"/>
        </w:rPr>
        <w:t>En el siguiente cuadro se expresa los niveles de ejecución por fuente cooperante al mes de agosto.</w:t>
      </w:r>
    </w:p>
    <w:p w:rsidR="00D4642F" w:rsidRDefault="00D4642F">
      <w:pPr>
        <w:jc w:val="left"/>
        <w:rPr>
          <w:rFonts w:eastAsiaTheme="majorEastAsia" w:cstheme="majorBidi"/>
          <w:b/>
          <w:caps/>
          <w:spacing w:val="10"/>
          <w:sz w:val="18"/>
          <w:lang w:eastAsia="es-GT"/>
        </w:rPr>
      </w:pPr>
      <w:bookmarkStart w:id="103" w:name="_Toc19524702"/>
      <w:r>
        <w:rPr>
          <w:b/>
          <w:sz w:val="18"/>
        </w:rPr>
        <w:br w:type="page"/>
      </w:r>
    </w:p>
    <w:p w:rsidR="00B27D73" w:rsidRPr="00A17383" w:rsidRDefault="00B27D73" w:rsidP="00A17383">
      <w:pPr>
        <w:pStyle w:val="Ttulo4"/>
        <w:numPr>
          <w:ilvl w:val="0"/>
          <w:numId w:val="0"/>
        </w:numPr>
        <w:ind w:left="864"/>
        <w:rPr>
          <w:rFonts w:ascii="Candara" w:hAnsi="Candara"/>
          <w:b/>
          <w:color w:val="auto"/>
          <w:sz w:val="18"/>
        </w:rPr>
      </w:pPr>
      <w:r w:rsidRPr="00A17383">
        <w:rPr>
          <w:rFonts w:ascii="Candara" w:hAnsi="Candara"/>
          <w:b/>
          <w:color w:val="auto"/>
          <w:sz w:val="18"/>
        </w:rPr>
        <w:lastRenderedPageBreak/>
        <w:t xml:space="preserve">Cuadro </w:t>
      </w:r>
      <w:r w:rsidR="009B30CD">
        <w:rPr>
          <w:rFonts w:ascii="Candara" w:hAnsi="Candara"/>
          <w:b/>
          <w:color w:val="auto"/>
          <w:sz w:val="18"/>
        </w:rPr>
        <w:t>16</w:t>
      </w:r>
      <w:r w:rsidR="009B30CD">
        <w:rPr>
          <w:rFonts w:ascii="Candara" w:hAnsi="Candara"/>
          <w:b/>
          <w:color w:val="auto"/>
          <w:sz w:val="18"/>
        </w:rPr>
        <w:br/>
      </w:r>
      <w:r w:rsidRPr="00A17383">
        <w:rPr>
          <w:rFonts w:ascii="Candara" w:hAnsi="Candara"/>
          <w:b/>
          <w:color w:val="auto"/>
          <w:sz w:val="18"/>
        </w:rPr>
        <w:t xml:space="preserve">Ejecución presupuestaria, </w:t>
      </w:r>
      <w:r w:rsidR="00AB42B9" w:rsidRPr="00A17383">
        <w:rPr>
          <w:rFonts w:ascii="Candara" w:hAnsi="Candara"/>
          <w:b/>
          <w:color w:val="auto"/>
          <w:sz w:val="18"/>
        </w:rPr>
        <w:t>c</w:t>
      </w:r>
      <w:r w:rsidRPr="00A17383">
        <w:rPr>
          <w:rFonts w:ascii="Candara" w:hAnsi="Candara"/>
          <w:b/>
          <w:color w:val="auto"/>
          <w:sz w:val="18"/>
        </w:rPr>
        <w:t xml:space="preserve">ooperación </w:t>
      </w:r>
      <w:r w:rsidR="00AB42B9" w:rsidRPr="00A17383">
        <w:rPr>
          <w:rFonts w:ascii="Candara" w:hAnsi="Candara"/>
          <w:b/>
          <w:color w:val="auto"/>
          <w:sz w:val="18"/>
        </w:rPr>
        <w:t>r</w:t>
      </w:r>
      <w:r w:rsidRPr="00A17383">
        <w:rPr>
          <w:rFonts w:ascii="Candara" w:hAnsi="Candara"/>
          <w:b/>
          <w:color w:val="auto"/>
          <w:sz w:val="18"/>
        </w:rPr>
        <w:t>eembolsable,</w:t>
      </w:r>
      <w:r w:rsidR="009B30CD">
        <w:rPr>
          <w:rFonts w:ascii="Candara" w:hAnsi="Candara"/>
          <w:b/>
          <w:color w:val="auto"/>
          <w:sz w:val="18"/>
        </w:rPr>
        <w:br/>
      </w:r>
      <w:r w:rsidRPr="00A17383">
        <w:rPr>
          <w:rFonts w:ascii="Candara" w:hAnsi="Candara"/>
          <w:b/>
          <w:color w:val="auto"/>
          <w:sz w:val="18"/>
        </w:rPr>
        <w:t>Ministerio de Comunicaciones, Infraestructura y Vivienda</w:t>
      </w:r>
      <w:r w:rsidR="009B30CD">
        <w:rPr>
          <w:rFonts w:ascii="Candara" w:hAnsi="Candara"/>
          <w:b/>
          <w:color w:val="auto"/>
          <w:sz w:val="18"/>
        </w:rPr>
        <w:br/>
      </w:r>
      <w:r w:rsidRPr="00A17383">
        <w:rPr>
          <w:rFonts w:ascii="Candara" w:hAnsi="Candara"/>
          <w:b/>
          <w:color w:val="auto"/>
          <w:sz w:val="18"/>
        </w:rPr>
        <w:t>Mayo - Agosto 2019</w:t>
      </w:r>
      <w:r w:rsidR="009B30CD">
        <w:rPr>
          <w:rFonts w:ascii="Candara" w:hAnsi="Candara"/>
          <w:b/>
          <w:color w:val="auto"/>
          <w:sz w:val="18"/>
        </w:rPr>
        <w:br/>
      </w:r>
      <w:r w:rsidRPr="00A17383">
        <w:rPr>
          <w:rFonts w:ascii="Candara" w:hAnsi="Candara"/>
          <w:b/>
          <w:color w:val="auto"/>
          <w:sz w:val="18"/>
        </w:rPr>
        <w:t>En millones de Q</w:t>
      </w:r>
      <w:bookmarkEnd w:id="10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35"/>
        <w:gridCol w:w="895"/>
        <w:gridCol w:w="41"/>
        <w:gridCol w:w="909"/>
        <w:gridCol w:w="897"/>
        <w:gridCol w:w="1166"/>
        <w:gridCol w:w="1166"/>
        <w:gridCol w:w="1166"/>
      </w:tblGrid>
      <w:tr w:rsidR="00B27D73" w:rsidRPr="00881D85" w:rsidTr="00881D85">
        <w:trPr>
          <w:tblHeader/>
        </w:trPr>
        <w:tc>
          <w:tcPr>
            <w:tcW w:w="2535" w:type="dxa"/>
            <w:vMerge w:val="restart"/>
            <w:tcBorders>
              <w:top w:val="single" w:sz="4" w:space="0" w:color="FFFFFF"/>
              <w:left w:val="single" w:sz="4" w:space="0" w:color="FFFFFF"/>
              <w:right w:val="nil"/>
            </w:tcBorders>
            <w:shd w:val="clear" w:color="auto" w:fill="5B9BD5"/>
          </w:tcPr>
          <w:p w:rsidR="00B27D73" w:rsidRPr="00881D85" w:rsidRDefault="00B27D73" w:rsidP="00D4642F">
            <w:pPr>
              <w:tabs>
                <w:tab w:val="center" w:pos="4362"/>
              </w:tabs>
              <w:spacing w:after="0" w:line="240" w:lineRule="auto"/>
              <w:jc w:val="center"/>
              <w:rPr>
                <w:bCs/>
                <w:color w:val="000000" w:themeColor="text1"/>
                <w:sz w:val="20"/>
              </w:rPr>
            </w:pPr>
          </w:p>
          <w:p w:rsidR="00B27D73" w:rsidRPr="00881D85" w:rsidRDefault="00B27D73" w:rsidP="00D4642F">
            <w:pPr>
              <w:tabs>
                <w:tab w:val="center" w:pos="4362"/>
              </w:tabs>
              <w:spacing w:after="0" w:line="240" w:lineRule="auto"/>
              <w:jc w:val="center"/>
              <w:rPr>
                <w:b/>
                <w:bCs/>
                <w:color w:val="000000" w:themeColor="text1"/>
                <w:sz w:val="20"/>
              </w:rPr>
            </w:pPr>
            <w:r w:rsidRPr="00881D85">
              <w:rPr>
                <w:b/>
                <w:bCs/>
                <w:color w:val="FFFFFF" w:themeColor="background1"/>
                <w:sz w:val="20"/>
              </w:rPr>
              <w:t xml:space="preserve">Descripción </w:t>
            </w:r>
          </w:p>
        </w:tc>
        <w:tc>
          <w:tcPr>
            <w:tcW w:w="936" w:type="dxa"/>
            <w:gridSpan w:val="2"/>
            <w:tcBorders>
              <w:top w:val="single" w:sz="4" w:space="0" w:color="FFFFFF"/>
              <w:left w:val="nil"/>
              <w:right w:val="nil"/>
            </w:tcBorders>
            <w:shd w:val="clear" w:color="auto" w:fill="5B9BD5"/>
          </w:tcPr>
          <w:p w:rsidR="00B27D73" w:rsidRPr="00881D85" w:rsidRDefault="00B27D73" w:rsidP="00D4642F">
            <w:pPr>
              <w:tabs>
                <w:tab w:val="center" w:pos="4362"/>
              </w:tabs>
              <w:spacing w:after="0" w:line="240" w:lineRule="auto"/>
              <w:jc w:val="center"/>
              <w:rPr>
                <w:b/>
                <w:bCs/>
                <w:color w:val="FFFFFF" w:themeColor="background1"/>
                <w:sz w:val="20"/>
              </w:rPr>
            </w:pPr>
          </w:p>
        </w:tc>
        <w:tc>
          <w:tcPr>
            <w:tcW w:w="2972" w:type="dxa"/>
            <w:gridSpan w:val="3"/>
            <w:tcBorders>
              <w:top w:val="single" w:sz="4" w:space="0" w:color="FFFFFF"/>
              <w:left w:val="nil"/>
              <w:right w:val="single" w:sz="4" w:space="0" w:color="FFFFFF"/>
            </w:tcBorders>
            <w:shd w:val="clear" w:color="auto" w:fill="5B9BD5"/>
          </w:tcPr>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Avance</w:t>
            </w:r>
          </w:p>
          <w:p w:rsidR="00B27D73" w:rsidRPr="00881D85" w:rsidRDefault="00B27D73" w:rsidP="00D4642F">
            <w:pPr>
              <w:tabs>
                <w:tab w:val="center" w:pos="4362"/>
              </w:tabs>
              <w:spacing w:after="0" w:line="240" w:lineRule="auto"/>
              <w:jc w:val="center"/>
              <w:rPr>
                <w:b/>
                <w:bCs/>
                <w:color w:val="000000" w:themeColor="text1"/>
                <w:sz w:val="20"/>
              </w:rPr>
            </w:pPr>
            <w:r w:rsidRPr="00881D85">
              <w:rPr>
                <w:b/>
                <w:bCs/>
                <w:color w:val="FFFFFF" w:themeColor="background1"/>
                <w:sz w:val="20"/>
              </w:rPr>
              <w:t>Mayo-Agosto</w:t>
            </w:r>
          </w:p>
        </w:tc>
        <w:tc>
          <w:tcPr>
            <w:tcW w:w="2332" w:type="dxa"/>
            <w:gridSpan w:val="2"/>
            <w:tcBorders>
              <w:top w:val="single" w:sz="4" w:space="0" w:color="FFFFFF"/>
              <w:left w:val="nil"/>
              <w:right w:val="single" w:sz="4" w:space="0" w:color="FFFFFF"/>
            </w:tcBorders>
            <w:shd w:val="clear" w:color="auto" w:fill="5B9BD5"/>
          </w:tcPr>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Acumulado</w:t>
            </w:r>
          </w:p>
          <w:p w:rsidR="00B27D73" w:rsidRPr="00881D85" w:rsidRDefault="00B27D73" w:rsidP="00D4642F">
            <w:pPr>
              <w:tabs>
                <w:tab w:val="center" w:pos="4362"/>
              </w:tabs>
              <w:spacing w:after="0" w:line="240" w:lineRule="auto"/>
              <w:jc w:val="center"/>
              <w:rPr>
                <w:b/>
                <w:bCs/>
                <w:color w:val="FFFFFF" w:themeColor="background1"/>
                <w:sz w:val="20"/>
              </w:rPr>
            </w:pPr>
            <w:r w:rsidRPr="00881D85">
              <w:rPr>
                <w:b/>
                <w:bCs/>
                <w:color w:val="FFFFFF" w:themeColor="background1"/>
                <w:sz w:val="20"/>
              </w:rPr>
              <w:t>Enero-Agosto</w:t>
            </w:r>
          </w:p>
        </w:tc>
      </w:tr>
      <w:tr w:rsidR="00B27D73" w:rsidRPr="00881D85" w:rsidTr="00881D85">
        <w:trPr>
          <w:tblHeader/>
        </w:trPr>
        <w:tc>
          <w:tcPr>
            <w:tcW w:w="2535" w:type="dxa"/>
            <w:vMerge/>
            <w:tcBorders>
              <w:left w:val="single" w:sz="4" w:space="0" w:color="FFFFFF"/>
            </w:tcBorders>
            <w:shd w:val="clear" w:color="auto" w:fill="5B9BD5"/>
          </w:tcPr>
          <w:p w:rsidR="00B27D73" w:rsidRPr="00881D85" w:rsidRDefault="00B27D73" w:rsidP="00D4642F">
            <w:pPr>
              <w:tabs>
                <w:tab w:val="center" w:pos="4362"/>
              </w:tabs>
              <w:spacing w:after="0" w:line="240" w:lineRule="auto"/>
              <w:jc w:val="center"/>
              <w:rPr>
                <w:color w:val="000000" w:themeColor="text1"/>
                <w:sz w:val="20"/>
              </w:rPr>
            </w:pPr>
          </w:p>
        </w:tc>
        <w:tc>
          <w:tcPr>
            <w:tcW w:w="895"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Inicial</w:t>
            </w:r>
          </w:p>
        </w:tc>
        <w:tc>
          <w:tcPr>
            <w:tcW w:w="950" w:type="dxa"/>
            <w:gridSpan w:val="2"/>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Vigente</w:t>
            </w:r>
          </w:p>
        </w:tc>
        <w:tc>
          <w:tcPr>
            <w:tcW w:w="897"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Avance </w:t>
            </w:r>
          </w:p>
          <w:p w:rsidR="00B27D73" w:rsidRPr="00881D85" w:rsidRDefault="00B27D73" w:rsidP="00D4642F">
            <w:pPr>
              <w:tabs>
                <w:tab w:val="center" w:pos="4362"/>
              </w:tabs>
              <w:spacing w:after="0" w:line="240" w:lineRule="auto"/>
              <w:jc w:val="center"/>
              <w:rPr>
                <w:color w:val="000000" w:themeColor="text1"/>
                <w:sz w:val="20"/>
              </w:rPr>
            </w:pPr>
          </w:p>
        </w:tc>
        <w:tc>
          <w:tcPr>
            <w:tcW w:w="1166"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 Avance </w:t>
            </w:r>
          </w:p>
        </w:tc>
        <w:tc>
          <w:tcPr>
            <w:tcW w:w="1166"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 Avance </w:t>
            </w:r>
          </w:p>
        </w:tc>
        <w:tc>
          <w:tcPr>
            <w:tcW w:w="1166" w:type="dxa"/>
            <w:shd w:val="clear" w:color="auto" w:fill="BDD6EE"/>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 xml:space="preserve">% Avance </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
                <w:color w:val="FFFFFF" w:themeColor="background1"/>
                <w:sz w:val="20"/>
              </w:rPr>
            </w:pPr>
            <w:r w:rsidRPr="00881D85">
              <w:rPr>
                <w:rFonts w:cstheme="minorHAnsi"/>
                <w:b/>
                <w:color w:val="FFFFFF" w:themeColor="background1"/>
                <w:sz w:val="20"/>
              </w:rPr>
              <w:t xml:space="preserve">Banco Centroamericano de Integración Económica </w:t>
            </w:r>
          </w:p>
        </w:tc>
        <w:tc>
          <w:tcPr>
            <w:tcW w:w="895"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rFonts w:cs="Arial-Bold"/>
                <w:bCs/>
                <w:color w:val="000000" w:themeColor="text1"/>
                <w:sz w:val="20"/>
              </w:rPr>
              <w:t xml:space="preserve"> 85.91</w:t>
            </w:r>
          </w:p>
        </w:tc>
        <w:tc>
          <w:tcPr>
            <w:tcW w:w="950" w:type="dxa"/>
            <w:gridSpan w:val="2"/>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rFonts w:cs="Arial-Bold"/>
                <w:bCs/>
                <w:color w:val="000000" w:themeColor="text1"/>
                <w:sz w:val="20"/>
              </w:rPr>
              <w:t xml:space="preserve"> 88.35</w:t>
            </w:r>
          </w:p>
        </w:tc>
        <w:tc>
          <w:tcPr>
            <w:tcW w:w="897" w:type="dxa"/>
            <w:shd w:val="clear" w:color="auto" w:fill="DEEAF6"/>
          </w:tcPr>
          <w:p w:rsidR="00B27D73" w:rsidRPr="00881D85" w:rsidRDefault="00B27D73" w:rsidP="00D4642F">
            <w:pPr>
              <w:tabs>
                <w:tab w:val="center" w:pos="4362"/>
              </w:tabs>
              <w:spacing w:after="0" w:line="240" w:lineRule="auto"/>
              <w:jc w:val="center"/>
              <w:rPr>
                <w:rFonts w:cs="Arial-Bold"/>
                <w:bCs/>
                <w:color w:val="000000" w:themeColor="text1"/>
                <w:sz w:val="20"/>
              </w:rPr>
            </w:pPr>
            <w:r w:rsidRPr="00881D85">
              <w:rPr>
                <w:rFonts w:cs="Arial-Bold"/>
                <w:bCs/>
                <w:color w:val="000000" w:themeColor="text1"/>
                <w:sz w:val="20"/>
              </w:rPr>
              <w:t>13.09</w:t>
            </w:r>
          </w:p>
        </w:tc>
        <w:tc>
          <w:tcPr>
            <w:tcW w:w="1166" w:type="dxa"/>
            <w:shd w:val="clear" w:color="auto" w:fill="DEEAF6"/>
          </w:tcPr>
          <w:p w:rsidR="00B27D73" w:rsidRPr="00881D85" w:rsidRDefault="00B27D73" w:rsidP="00D4642F">
            <w:pPr>
              <w:tabs>
                <w:tab w:val="center" w:pos="4362"/>
              </w:tabs>
              <w:spacing w:after="0" w:line="240" w:lineRule="auto"/>
              <w:jc w:val="center"/>
              <w:rPr>
                <w:color w:val="000000" w:themeColor="text1"/>
                <w:sz w:val="20"/>
              </w:rPr>
            </w:pPr>
            <w:r w:rsidRPr="00881D85">
              <w:rPr>
                <w:color w:val="000000" w:themeColor="text1"/>
                <w:sz w:val="20"/>
              </w:rPr>
              <w:t>14.82</w:t>
            </w:r>
          </w:p>
        </w:tc>
        <w:tc>
          <w:tcPr>
            <w:tcW w:w="1166"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13.09</w:t>
            </w:r>
          </w:p>
        </w:tc>
        <w:tc>
          <w:tcPr>
            <w:tcW w:w="1166"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14.82</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color w:val="FFFFFF" w:themeColor="background1"/>
                <w:sz w:val="20"/>
              </w:rPr>
            </w:pPr>
            <w:r w:rsidRPr="00881D85">
              <w:rPr>
                <w:rFonts w:cstheme="minorHAnsi"/>
                <w:color w:val="FFFFFF" w:themeColor="background1"/>
                <w:sz w:val="20"/>
              </w:rPr>
              <w:t>Franja Transversal del Norte</w:t>
            </w:r>
          </w:p>
        </w:tc>
        <w:tc>
          <w:tcPr>
            <w:tcW w:w="895" w:type="dxa"/>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76.85</w:t>
            </w:r>
          </w:p>
        </w:tc>
        <w:tc>
          <w:tcPr>
            <w:tcW w:w="950" w:type="dxa"/>
            <w:gridSpan w:val="2"/>
            <w:shd w:val="clear" w:color="auto" w:fill="BDD6EE"/>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76.85</w:t>
            </w:r>
          </w:p>
        </w:tc>
        <w:tc>
          <w:tcPr>
            <w:tcW w:w="897"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13.09</w:t>
            </w:r>
          </w:p>
        </w:tc>
        <w:tc>
          <w:tcPr>
            <w:tcW w:w="1166" w:type="dxa"/>
            <w:shd w:val="clear" w:color="auto" w:fill="BDD6EE"/>
          </w:tcPr>
          <w:p w:rsidR="00B27D73" w:rsidRPr="00881D85" w:rsidRDefault="00B27D73" w:rsidP="00D4642F">
            <w:pPr>
              <w:tabs>
                <w:tab w:val="center" w:pos="4362"/>
              </w:tabs>
              <w:spacing w:after="0" w:line="240" w:lineRule="auto"/>
              <w:jc w:val="center"/>
              <w:rPr>
                <w:rFonts w:cs="Arial"/>
                <w:sz w:val="20"/>
              </w:rPr>
            </w:pPr>
            <w:r w:rsidRPr="00881D85">
              <w:rPr>
                <w:rFonts w:cs="Arial"/>
                <w:sz w:val="20"/>
              </w:rPr>
              <w:t>17.03</w:t>
            </w:r>
          </w:p>
        </w:tc>
        <w:tc>
          <w:tcPr>
            <w:tcW w:w="1166" w:type="dxa"/>
            <w:shd w:val="clear" w:color="auto" w:fill="BDD6EE"/>
          </w:tcPr>
          <w:p w:rsidR="00B27D73" w:rsidRPr="00881D85" w:rsidRDefault="00B27D73" w:rsidP="00D4642F">
            <w:pPr>
              <w:tabs>
                <w:tab w:val="center" w:pos="4362"/>
              </w:tabs>
              <w:spacing w:after="0" w:line="240" w:lineRule="auto"/>
              <w:jc w:val="center"/>
              <w:rPr>
                <w:rFonts w:cstheme="minorHAnsi"/>
                <w:sz w:val="20"/>
              </w:rPr>
            </w:pPr>
            <w:r w:rsidRPr="00881D85">
              <w:rPr>
                <w:rFonts w:cstheme="minorHAnsi"/>
                <w:sz w:val="20"/>
              </w:rPr>
              <w:t>13.09</w:t>
            </w:r>
          </w:p>
        </w:tc>
        <w:tc>
          <w:tcPr>
            <w:tcW w:w="1166" w:type="dxa"/>
            <w:shd w:val="clear" w:color="auto" w:fill="BDD6EE"/>
          </w:tcPr>
          <w:p w:rsidR="00B27D73" w:rsidRPr="00881D85" w:rsidRDefault="00B27D73" w:rsidP="00D4642F">
            <w:pPr>
              <w:tabs>
                <w:tab w:val="center" w:pos="4362"/>
              </w:tabs>
              <w:spacing w:after="0" w:line="240" w:lineRule="auto"/>
              <w:jc w:val="center"/>
              <w:rPr>
                <w:rFonts w:cstheme="minorHAnsi"/>
                <w:sz w:val="20"/>
              </w:rPr>
            </w:pPr>
            <w:r w:rsidRPr="00881D85">
              <w:rPr>
                <w:rFonts w:cstheme="minorHAnsi"/>
                <w:sz w:val="20"/>
              </w:rPr>
              <w:t>17.03</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
                <w:color w:val="FFFFFF" w:themeColor="background1"/>
                <w:sz w:val="20"/>
              </w:rPr>
            </w:pPr>
            <w:r w:rsidRPr="00881D85">
              <w:rPr>
                <w:rFonts w:cstheme="minorHAnsi"/>
                <w:b/>
                <w:color w:val="FFFFFF" w:themeColor="background1"/>
                <w:sz w:val="20"/>
              </w:rPr>
              <w:t>Banco Interamericano de Desarrollo</w:t>
            </w:r>
          </w:p>
        </w:tc>
        <w:tc>
          <w:tcPr>
            <w:tcW w:w="895"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486.58</w:t>
            </w:r>
          </w:p>
        </w:tc>
        <w:tc>
          <w:tcPr>
            <w:tcW w:w="950" w:type="dxa"/>
            <w:gridSpan w:val="2"/>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102.95</w:t>
            </w:r>
          </w:p>
        </w:tc>
        <w:tc>
          <w:tcPr>
            <w:tcW w:w="897" w:type="dxa"/>
            <w:shd w:val="clear" w:color="auto" w:fill="DEEAF6"/>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0.00</w:t>
            </w:r>
          </w:p>
        </w:tc>
        <w:tc>
          <w:tcPr>
            <w:tcW w:w="1166" w:type="dxa"/>
            <w:shd w:val="clear" w:color="auto" w:fill="DEEAF6"/>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0.00</w:t>
            </w:r>
          </w:p>
        </w:tc>
        <w:tc>
          <w:tcPr>
            <w:tcW w:w="1166" w:type="dxa"/>
            <w:shd w:val="clear" w:color="auto" w:fill="DEEAF6"/>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25.68</w:t>
            </w:r>
          </w:p>
        </w:tc>
        <w:tc>
          <w:tcPr>
            <w:tcW w:w="1166" w:type="dxa"/>
            <w:shd w:val="clear" w:color="auto" w:fill="DEEAF6"/>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24.94</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rFonts w:cstheme="minorHAnsi"/>
                <w:b/>
                <w:color w:val="FFFFFF" w:themeColor="background1"/>
                <w:sz w:val="20"/>
              </w:rPr>
            </w:pPr>
            <w:r w:rsidRPr="00881D85">
              <w:rPr>
                <w:rFonts w:cstheme="minorHAnsi"/>
                <w:b/>
                <w:color w:val="FFFFFF" w:themeColor="background1"/>
                <w:sz w:val="20"/>
              </w:rPr>
              <w:t xml:space="preserve">Banco Internacional de Reconstrucción y Fomento </w:t>
            </w:r>
          </w:p>
        </w:tc>
        <w:tc>
          <w:tcPr>
            <w:tcW w:w="895"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34.58</w:t>
            </w:r>
          </w:p>
        </w:tc>
        <w:tc>
          <w:tcPr>
            <w:tcW w:w="950" w:type="dxa"/>
            <w:gridSpan w:val="2"/>
            <w:shd w:val="clear" w:color="auto" w:fill="BDD6EE" w:themeFill="accent1" w:themeFillTint="6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77.52</w:t>
            </w:r>
          </w:p>
        </w:tc>
        <w:tc>
          <w:tcPr>
            <w:tcW w:w="897"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38.35</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49.47</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38.35</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49.47</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
                <w:color w:val="FFFFFF" w:themeColor="background1"/>
                <w:sz w:val="20"/>
              </w:rPr>
            </w:pPr>
            <w:r w:rsidRPr="00881D85">
              <w:rPr>
                <w:rFonts w:cstheme="minorHAnsi"/>
                <w:b/>
                <w:color w:val="FFFFFF" w:themeColor="background1"/>
                <w:sz w:val="20"/>
              </w:rPr>
              <w:t>Agencia Japonesa de Cooperación Internacional</w:t>
            </w:r>
          </w:p>
        </w:tc>
        <w:tc>
          <w:tcPr>
            <w:tcW w:w="895" w:type="dxa"/>
            <w:shd w:val="clear" w:color="auto" w:fill="DEEAF6" w:themeFill="accent1" w:themeFillTint="33"/>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148.57</w:t>
            </w:r>
          </w:p>
        </w:tc>
        <w:tc>
          <w:tcPr>
            <w:tcW w:w="950" w:type="dxa"/>
            <w:gridSpan w:val="2"/>
            <w:shd w:val="clear" w:color="auto" w:fill="DEEAF6" w:themeFill="accent1" w:themeFillTint="33"/>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148.57</w:t>
            </w:r>
          </w:p>
        </w:tc>
        <w:tc>
          <w:tcPr>
            <w:tcW w:w="897" w:type="dxa"/>
            <w:shd w:val="clear" w:color="auto" w:fill="DEEAF6" w:themeFill="accent1" w:themeFillTint="33"/>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9.76</w:t>
            </w:r>
          </w:p>
        </w:tc>
        <w:tc>
          <w:tcPr>
            <w:tcW w:w="1166" w:type="dxa"/>
            <w:shd w:val="clear" w:color="auto" w:fill="DEEAF6" w:themeFill="accent1" w:themeFillTint="33"/>
          </w:tcPr>
          <w:p w:rsidR="00B27D73" w:rsidRPr="00881D85" w:rsidRDefault="00B27D73" w:rsidP="00D4642F">
            <w:pPr>
              <w:tabs>
                <w:tab w:val="center" w:pos="4362"/>
              </w:tabs>
              <w:spacing w:after="0" w:line="240" w:lineRule="auto"/>
              <w:jc w:val="center"/>
              <w:rPr>
                <w:rFonts w:cs="Arial"/>
                <w:bCs/>
                <w:sz w:val="20"/>
              </w:rPr>
            </w:pPr>
            <w:r w:rsidRPr="00881D85">
              <w:rPr>
                <w:rFonts w:cs="Arial"/>
                <w:bCs/>
                <w:sz w:val="20"/>
              </w:rPr>
              <w:t>6.57</w:t>
            </w:r>
          </w:p>
        </w:tc>
        <w:tc>
          <w:tcPr>
            <w:tcW w:w="1166" w:type="dxa"/>
            <w:shd w:val="clear" w:color="auto" w:fill="DEEAF6" w:themeFill="accent1" w:themeFillTint="33"/>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23.35</w:t>
            </w:r>
          </w:p>
        </w:tc>
        <w:tc>
          <w:tcPr>
            <w:tcW w:w="1166" w:type="dxa"/>
            <w:shd w:val="clear" w:color="auto" w:fill="DEEAF6" w:themeFill="accent1" w:themeFillTint="33"/>
          </w:tcPr>
          <w:p w:rsidR="00B27D73" w:rsidRPr="00881D85" w:rsidRDefault="00B27D73" w:rsidP="00D4642F">
            <w:pPr>
              <w:tabs>
                <w:tab w:val="center" w:pos="4362"/>
              </w:tabs>
              <w:spacing w:after="0" w:line="240" w:lineRule="auto"/>
              <w:jc w:val="center"/>
              <w:rPr>
                <w:rFonts w:cstheme="minorHAnsi"/>
                <w:bCs/>
                <w:sz w:val="20"/>
              </w:rPr>
            </w:pPr>
            <w:r w:rsidRPr="00881D85">
              <w:rPr>
                <w:rFonts w:cstheme="minorHAnsi"/>
                <w:bCs/>
                <w:sz w:val="20"/>
              </w:rPr>
              <w:t>15.72</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Cs/>
                <w:color w:val="FFFFFF" w:themeColor="background1"/>
                <w:sz w:val="20"/>
              </w:rPr>
            </w:pPr>
            <w:r w:rsidRPr="00881D85">
              <w:rPr>
                <w:rFonts w:cstheme="minorHAnsi"/>
                <w:color w:val="FFFFFF" w:themeColor="background1"/>
                <w:sz w:val="20"/>
              </w:rPr>
              <w:t xml:space="preserve">Programa de mejoramiento de carreteras en </w:t>
            </w:r>
            <w:r w:rsidR="0088266A" w:rsidRPr="00881D85">
              <w:rPr>
                <w:rFonts w:cstheme="minorHAnsi"/>
                <w:color w:val="FFFFFF" w:themeColor="background1"/>
                <w:sz w:val="20"/>
              </w:rPr>
              <w:t>zona paz</w:t>
            </w:r>
          </w:p>
        </w:tc>
        <w:tc>
          <w:tcPr>
            <w:tcW w:w="895"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148.57</w:t>
            </w:r>
          </w:p>
        </w:tc>
        <w:tc>
          <w:tcPr>
            <w:tcW w:w="950" w:type="dxa"/>
            <w:gridSpan w:val="2"/>
            <w:shd w:val="clear" w:color="auto" w:fill="BDD6EE" w:themeFill="accent1" w:themeFillTint="6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148.57</w:t>
            </w:r>
          </w:p>
        </w:tc>
        <w:tc>
          <w:tcPr>
            <w:tcW w:w="897"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bCs/>
                <w:color w:val="000000" w:themeColor="text1"/>
                <w:sz w:val="20"/>
              </w:rPr>
            </w:pPr>
            <w:r w:rsidRPr="00881D85">
              <w:rPr>
                <w:rFonts w:cs="Arial"/>
                <w:bCs/>
                <w:color w:val="000000" w:themeColor="text1"/>
                <w:sz w:val="20"/>
              </w:rPr>
              <w:t>9.76</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Arial"/>
                <w:bCs/>
                <w:color w:val="000000" w:themeColor="text1"/>
                <w:sz w:val="20"/>
              </w:rPr>
            </w:pPr>
            <w:r w:rsidRPr="00881D85">
              <w:rPr>
                <w:rFonts w:cs="Arial"/>
                <w:bCs/>
                <w:color w:val="000000" w:themeColor="text1"/>
                <w:sz w:val="20"/>
              </w:rPr>
              <w:t>6.57</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theme="minorHAnsi"/>
                <w:bCs/>
                <w:color w:val="000000" w:themeColor="text1"/>
                <w:sz w:val="20"/>
              </w:rPr>
            </w:pPr>
            <w:r w:rsidRPr="00881D85">
              <w:rPr>
                <w:rFonts w:cstheme="minorHAnsi"/>
                <w:bCs/>
                <w:color w:val="000000" w:themeColor="text1"/>
                <w:sz w:val="20"/>
              </w:rPr>
              <w:t>23.35</w:t>
            </w:r>
          </w:p>
        </w:tc>
        <w:tc>
          <w:tcPr>
            <w:tcW w:w="1166" w:type="dxa"/>
            <w:shd w:val="clear" w:color="auto" w:fill="BDD6EE" w:themeFill="accent1" w:themeFillTint="66"/>
          </w:tcPr>
          <w:p w:rsidR="00B27D73" w:rsidRPr="00881D85" w:rsidRDefault="00B27D73" w:rsidP="00D4642F">
            <w:pPr>
              <w:tabs>
                <w:tab w:val="center" w:pos="4362"/>
              </w:tabs>
              <w:spacing w:after="0" w:line="240" w:lineRule="auto"/>
              <w:jc w:val="center"/>
              <w:rPr>
                <w:rFonts w:cstheme="minorHAnsi"/>
                <w:bCs/>
                <w:color w:val="000000" w:themeColor="text1"/>
                <w:sz w:val="20"/>
              </w:rPr>
            </w:pPr>
            <w:r w:rsidRPr="00881D85">
              <w:rPr>
                <w:rFonts w:cstheme="minorHAnsi"/>
                <w:bCs/>
                <w:color w:val="000000" w:themeColor="text1"/>
                <w:sz w:val="20"/>
              </w:rPr>
              <w:t>15.72</w:t>
            </w:r>
          </w:p>
        </w:tc>
      </w:tr>
      <w:tr w:rsidR="00B27D73" w:rsidRPr="00881D85" w:rsidTr="00881D85">
        <w:tc>
          <w:tcPr>
            <w:tcW w:w="2535" w:type="dxa"/>
            <w:tcBorders>
              <w:left w:val="single" w:sz="4" w:space="0" w:color="FFFFFF"/>
            </w:tcBorders>
            <w:shd w:val="clear" w:color="auto" w:fill="5B9BD5"/>
          </w:tcPr>
          <w:p w:rsidR="00B27D73" w:rsidRPr="00881D85" w:rsidRDefault="00B27D73" w:rsidP="00D4642F">
            <w:pPr>
              <w:tabs>
                <w:tab w:val="center" w:pos="4362"/>
              </w:tabs>
              <w:spacing w:after="0" w:line="240" w:lineRule="auto"/>
              <w:jc w:val="left"/>
              <w:rPr>
                <w:b/>
                <w:bCs/>
                <w:color w:val="FFFFFF" w:themeColor="background1"/>
                <w:sz w:val="20"/>
              </w:rPr>
            </w:pPr>
            <w:r w:rsidRPr="00881D85">
              <w:rPr>
                <w:b/>
                <w:bCs/>
                <w:color w:val="FFFFFF" w:themeColor="background1"/>
                <w:sz w:val="20"/>
              </w:rPr>
              <w:t xml:space="preserve">Eurobono 2050, Decreto 25-2018 y Acuerdo Gubernativo 13-2019 </w:t>
            </w:r>
          </w:p>
        </w:tc>
        <w:tc>
          <w:tcPr>
            <w:tcW w:w="895" w:type="dxa"/>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0.00</w:t>
            </w:r>
          </w:p>
        </w:tc>
        <w:tc>
          <w:tcPr>
            <w:tcW w:w="950" w:type="dxa"/>
            <w:gridSpan w:val="2"/>
            <w:shd w:val="clear" w:color="auto" w:fill="DEEAF6"/>
          </w:tcPr>
          <w:p w:rsidR="00B27D73" w:rsidRPr="00881D85" w:rsidRDefault="00B27D73" w:rsidP="00D4642F">
            <w:pPr>
              <w:tabs>
                <w:tab w:val="center" w:pos="4362"/>
              </w:tabs>
              <w:spacing w:after="0" w:line="240" w:lineRule="auto"/>
              <w:jc w:val="center"/>
              <w:rPr>
                <w:rFonts w:cs="Arial"/>
                <w:color w:val="000000" w:themeColor="text1"/>
                <w:sz w:val="20"/>
              </w:rPr>
            </w:pPr>
            <w:r w:rsidRPr="00881D85">
              <w:rPr>
                <w:rFonts w:cs="Arial"/>
                <w:color w:val="000000" w:themeColor="text1"/>
                <w:sz w:val="20"/>
              </w:rPr>
              <w:t>369.76</w:t>
            </w:r>
          </w:p>
        </w:tc>
        <w:tc>
          <w:tcPr>
            <w:tcW w:w="897" w:type="dxa"/>
            <w:shd w:val="clear" w:color="auto" w:fill="DEEAF6"/>
          </w:tcPr>
          <w:p w:rsidR="00B27D73" w:rsidRPr="00881D85" w:rsidRDefault="00B27D73" w:rsidP="00D4642F">
            <w:pPr>
              <w:tabs>
                <w:tab w:val="center" w:pos="4362"/>
              </w:tabs>
              <w:spacing w:after="0" w:line="240" w:lineRule="auto"/>
              <w:jc w:val="center"/>
              <w:rPr>
                <w:rFonts w:cs="Arial"/>
                <w:bCs/>
                <w:color w:val="000000" w:themeColor="text1"/>
                <w:sz w:val="20"/>
              </w:rPr>
            </w:pPr>
            <w:r w:rsidRPr="00881D85">
              <w:rPr>
                <w:rFonts w:cs="Arial"/>
                <w:bCs/>
                <w:color w:val="000000" w:themeColor="text1"/>
                <w:sz w:val="20"/>
              </w:rPr>
              <w:t>170.02</w:t>
            </w:r>
          </w:p>
        </w:tc>
        <w:tc>
          <w:tcPr>
            <w:tcW w:w="1166" w:type="dxa"/>
            <w:shd w:val="clear" w:color="auto" w:fill="DEEAF6"/>
          </w:tcPr>
          <w:p w:rsidR="00B27D73" w:rsidRPr="00881D85" w:rsidRDefault="00B27D73" w:rsidP="00D4642F">
            <w:pPr>
              <w:tabs>
                <w:tab w:val="center" w:pos="4362"/>
              </w:tabs>
              <w:spacing w:after="0" w:line="240" w:lineRule="auto"/>
              <w:jc w:val="center"/>
              <w:rPr>
                <w:rFonts w:cs="Arial"/>
                <w:bCs/>
                <w:color w:val="000000" w:themeColor="text1"/>
                <w:sz w:val="20"/>
              </w:rPr>
            </w:pPr>
            <w:r w:rsidRPr="00881D85">
              <w:rPr>
                <w:rFonts w:cs="Arial"/>
                <w:bCs/>
                <w:color w:val="000000" w:themeColor="text1"/>
                <w:sz w:val="20"/>
              </w:rPr>
              <w:t>45.98</w:t>
            </w:r>
          </w:p>
        </w:tc>
        <w:tc>
          <w:tcPr>
            <w:tcW w:w="1166" w:type="dxa"/>
            <w:shd w:val="clear" w:color="auto" w:fill="DEEAF6"/>
          </w:tcPr>
          <w:p w:rsidR="00B27D73" w:rsidRPr="00881D85" w:rsidRDefault="00B27D73" w:rsidP="00D4642F">
            <w:pPr>
              <w:tabs>
                <w:tab w:val="center" w:pos="4362"/>
              </w:tabs>
              <w:spacing w:after="0" w:line="240" w:lineRule="auto"/>
              <w:jc w:val="center"/>
              <w:rPr>
                <w:rFonts w:cstheme="minorHAnsi"/>
                <w:bCs/>
                <w:color w:val="000000" w:themeColor="text1"/>
                <w:sz w:val="20"/>
              </w:rPr>
            </w:pPr>
            <w:r w:rsidRPr="00881D85">
              <w:rPr>
                <w:rFonts w:cstheme="minorHAnsi"/>
                <w:bCs/>
                <w:color w:val="000000" w:themeColor="text1"/>
                <w:sz w:val="20"/>
              </w:rPr>
              <w:t>170.02</w:t>
            </w:r>
          </w:p>
        </w:tc>
        <w:tc>
          <w:tcPr>
            <w:tcW w:w="1166" w:type="dxa"/>
            <w:shd w:val="clear" w:color="auto" w:fill="DEEAF6"/>
          </w:tcPr>
          <w:p w:rsidR="00B27D73" w:rsidRPr="00881D85" w:rsidRDefault="00B27D73" w:rsidP="00D4642F">
            <w:pPr>
              <w:tabs>
                <w:tab w:val="center" w:pos="4362"/>
              </w:tabs>
              <w:spacing w:after="0" w:line="240" w:lineRule="auto"/>
              <w:jc w:val="center"/>
              <w:rPr>
                <w:rFonts w:cstheme="minorHAnsi"/>
                <w:bCs/>
                <w:color w:val="000000" w:themeColor="text1"/>
                <w:sz w:val="20"/>
              </w:rPr>
            </w:pPr>
            <w:r w:rsidRPr="00881D85">
              <w:rPr>
                <w:rFonts w:cstheme="minorHAnsi"/>
                <w:bCs/>
                <w:color w:val="000000" w:themeColor="text1"/>
                <w:sz w:val="20"/>
              </w:rPr>
              <w:t>45.98</w:t>
            </w:r>
          </w:p>
        </w:tc>
      </w:tr>
    </w:tbl>
    <w:p w:rsidR="00AB42B9" w:rsidRPr="00A75532" w:rsidRDefault="00AB42B9" w:rsidP="00AB42B9">
      <w:pPr>
        <w:jc w:val="left"/>
        <w:rPr>
          <w:rFonts w:eastAsiaTheme="minorEastAsia"/>
          <w:color w:val="000000" w:themeColor="text1"/>
          <w:kern w:val="24"/>
          <w:sz w:val="18"/>
          <w:lang w:eastAsia="es-GT"/>
        </w:rPr>
      </w:pPr>
      <w:r w:rsidRPr="00A75532">
        <w:rPr>
          <w:rFonts w:cstheme="minorHAnsi"/>
          <w:sz w:val="18"/>
        </w:rPr>
        <w:t xml:space="preserve"> </w:t>
      </w:r>
      <w:r w:rsidRPr="00A75532">
        <w:rPr>
          <w:sz w:val="18"/>
        </w:rPr>
        <w:t xml:space="preserve">Fuente: Elaboración </w:t>
      </w:r>
      <w:r w:rsidR="004A5DEC" w:rsidRPr="00A75532">
        <w:rPr>
          <w:sz w:val="18"/>
        </w:rPr>
        <w:t>SEGEPLAN con base en datos del SICOIN</w:t>
      </w:r>
      <w:r w:rsidRPr="00A75532">
        <w:rPr>
          <w:sz w:val="18"/>
        </w:rPr>
        <w:t xml:space="preserve"> al 06/09/19 </w:t>
      </w:r>
    </w:p>
    <w:p w:rsidR="00B27D73" w:rsidRPr="007223FB" w:rsidRDefault="00B27D73" w:rsidP="00881D85">
      <w:pPr>
        <w:spacing w:before="120" w:after="120" w:line="240" w:lineRule="auto"/>
        <w:rPr>
          <w:color w:val="000000" w:themeColor="text1"/>
        </w:rPr>
      </w:pPr>
      <w:r w:rsidRPr="007223FB">
        <w:rPr>
          <w:rFonts w:cstheme="minorHAnsi"/>
        </w:rPr>
        <w:t>En relación a las donaciones externas de un presupuesto inicial de Q 66.01 millones, registra un decremento de Q 51.65 millones, a un presupuesto vigente de Q</w:t>
      </w:r>
      <w:r w:rsidRPr="007223FB">
        <w:rPr>
          <w:rFonts w:cs="Arial-Bold"/>
          <w:b/>
          <w:bCs/>
        </w:rPr>
        <w:t xml:space="preserve"> </w:t>
      </w:r>
      <w:r w:rsidRPr="007223FB">
        <w:rPr>
          <w:rFonts w:cs="Arial-Bold"/>
          <w:bCs/>
        </w:rPr>
        <w:t xml:space="preserve">14.36 </w:t>
      </w:r>
      <w:r w:rsidRPr="007223FB">
        <w:rPr>
          <w:rFonts w:cstheme="minorHAnsi"/>
        </w:rPr>
        <w:t>millones de los cuales ha ejecutado en el segundo cuatrimestre Q</w:t>
      </w:r>
      <w:r w:rsidRPr="007223FB">
        <w:rPr>
          <w:rFonts w:cs="Arial-Bold"/>
          <w:b/>
          <w:bCs/>
        </w:rPr>
        <w:t xml:space="preserve"> </w:t>
      </w:r>
      <w:r w:rsidRPr="007223FB">
        <w:rPr>
          <w:rFonts w:cs="Arial-Bold"/>
          <w:bCs/>
        </w:rPr>
        <w:t>1.82</w:t>
      </w:r>
      <w:r w:rsidRPr="007223FB">
        <w:rPr>
          <w:rFonts w:cstheme="minorHAnsi"/>
        </w:rPr>
        <w:t xml:space="preserve"> millones equivalente a un 12.69%.  Reportó el Programa de mejora y recuperación del hábitat saludable de los municipios de la Mancomunidad COPANCH´ORTI con un avance de ejecución de 1.62%.</w:t>
      </w:r>
      <w:r w:rsidRPr="007223FB">
        <w:rPr>
          <w:color w:val="000000" w:themeColor="text1"/>
        </w:rPr>
        <w:t xml:space="preserve"> </w:t>
      </w:r>
      <w:r w:rsidRPr="007223FB">
        <w:rPr>
          <w:rFonts w:cs="Candara"/>
          <w:color w:val="000000" w:themeColor="text1"/>
        </w:rPr>
        <w:t xml:space="preserve">En el acumulado (enero-agosto) su ejecución fue de Q </w:t>
      </w:r>
      <w:r w:rsidRPr="007223FB">
        <w:rPr>
          <w:rFonts w:cs="Arial-Bold"/>
          <w:bCs/>
          <w:color w:val="000000" w:themeColor="text1"/>
        </w:rPr>
        <w:t>2.07</w:t>
      </w:r>
      <w:r w:rsidRPr="007223FB">
        <w:rPr>
          <w:rFonts w:cs="Arial-Bold"/>
          <w:b/>
          <w:bCs/>
          <w:color w:val="FF0000"/>
        </w:rPr>
        <w:t xml:space="preserve"> </w:t>
      </w:r>
      <w:r w:rsidRPr="007223FB">
        <w:rPr>
          <w:rFonts w:cs="Candara"/>
          <w:color w:val="000000" w:themeColor="text1"/>
        </w:rPr>
        <w:t xml:space="preserve">millones equivalente a un 14.39% de avance. No se supera el 20% de ejecución por lo que, al tercer cuatrimestre deberá ejecutar el 85.61%. </w:t>
      </w:r>
    </w:p>
    <w:p w:rsidR="00B27D73" w:rsidRPr="007223FB" w:rsidRDefault="00B27D73" w:rsidP="00881D85">
      <w:pPr>
        <w:autoSpaceDE w:val="0"/>
        <w:autoSpaceDN w:val="0"/>
        <w:adjustRightInd w:val="0"/>
        <w:spacing w:before="120" w:after="120" w:line="240" w:lineRule="auto"/>
        <w:rPr>
          <w:rFonts w:cs="Candara"/>
          <w:color w:val="000000" w:themeColor="text1"/>
        </w:rPr>
      </w:pPr>
      <w:r w:rsidRPr="007223FB">
        <w:rPr>
          <w:rFonts w:cs="Candara"/>
          <w:color w:val="000000" w:themeColor="text1"/>
        </w:rPr>
        <w:t>Al segundo cuatrimestre, el presupuesto del ministerio registró un incremento de Q</w:t>
      </w:r>
      <w:r w:rsidRPr="007223FB">
        <w:rPr>
          <w:rFonts w:cs="Arial-Bold"/>
          <w:b/>
          <w:bCs/>
          <w:color w:val="000000" w:themeColor="text1"/>
        </w:rPr>
        <w:t xml:space="preserve"> </w:t>
      </w:r>
      <w:r w:rsidRPr="007223FB">
        <w:rPr>
          <w:rFonts w:cs="Arial-Bold"/>
          <w:bCs/>
          <w:color w:val="000000" w:themeColor="text1"/>
        </w:rPr>
        <w:t>8.00</w:t>
      </w:r>
      <w:r w:rsidRPr="007223FB">
        <w:rPr>
          <w:rFonts w:cs="Candara"/>
          <w:color w:val="000000" w:themeColor="text1"/>
        </w:rPr>
        <w:t xml:space="preserve"> millones, de un presupuesto inicial de Q 6,053.38</w:t>
      </w:r>
      <w:r w:rsidRPr="007223FB">
        <w:rPr>
          <w:rFonts w:cs="Arial-Bold"/>
          <w:bCs/>
          <w:color w:val="000000" w:themeColor="text1"/>
        </w:rPr>
        <w:t xml:space="preserve"> </w:t>
      </w:r>
      <w:r w:rsidRPr="007223FB">
        <w:rPr>
          <w:rFonts w:cs="Candara"/>
          <w:color w:val="000000" w:themeColor="text1"/>
        </w:rPr>
        <w:t xml:space="preserve">millones, a un presupuesto vigente de Q </w:t>
      </w:r>
      <w:r w:rsidRPr="007223FB">
        <w:rPr>
          <w:rFonts w:cs="Arial-Bold"/>
          <w:bCs/>
          <w:color w:val="000000" w:themeColor="text1"/>
        </w:rPr>
        <w:t>6,061.38 millones;</w:t>
      </w:r>
      <w:r w:rsidRPr="007223FB">
        <w:rPr>
          <w:rFonts w:cs="Candara"/>
          <w:color w:val="000000" w:themeColor="text1"/>
        </w:rPr>
        <w:t xml:space="preserve"> de los cuales en el segundo cuatrimestre ejecutó Q </w:t>
      </w:r>
      <w:r w:rsidRPr="007223FB">
        <w:rPr>
          <w:rFonts w:cs="Arial-Bold"/>
          <w:bCs/>
          <w:color w:val="000000" w:themeColor="text1"/>
        </w:rPr>
        <w:t>1,727.12</w:t>
      </w:r>
      <w:r w:rsidRPr="007223FB">
        <w:rPr>
          <w:rFonts w:cs="Candara"/>
          <w:color w:val="000000" w:themeColor="text1"/>
        </w:rPr>
        <w:t xml:space="preserve"> millones equivalentes a </w:t>
      </w:r>
      <w:r w:rsidR="00AB42B9" w:rsidRPr="007223FB">
        <w:rPr>
          <w:rFonts w:cs="Candara"/>
          <w:color w:val="000000" w:themeColor="text1"/>
        </w:rPr>
        <w:t xml:space="preserve">un </w:t>
      </w:r>
      <w:r w:rsidR="00AB42B9" w:rsidRPr="007223FB">
        <w:rPr>
          <w:rFonts w:cs="Arial-Bold"/>
          <w:color w:val="000000" w:themeColor="text1"/>
        </w:rPr>
        <w:t>28.49</w:t>
      </w:r>
      <w:r w:rsidRPr="007223FB">
        <w:rPr>
          <w:rFonts w:cs="Candara"/>
          <w:color w:val="000000" w:themeColor="text1"/>
        </w:rPr>
        <w:t xml:space="preserve">%.  </w:t>
      </w:r>
    </w:p>
    <w:p w:rsidR="00B27D73" w:rsidRPr="007223FB" w:rsidRDefault="00B27D73" w:rsidP="00881D85">
      <w:pPr>
        <w:autoSpaceDE w:val="0"/>
        <w:autoSpaceDN w:val="0"/>
        <w:adjustRightInd w:val="0"/>
        <w:spacing w:before="120" w:after="120" w:line="240" w:lineRule="auto"/>
        <w:rPr>
          <w:rFonts w:cs="Candara"/>
          <w:color w:val="000000" w:themeColor="text1"/>
        </w:rPr>
      </w:pPr>
      <w:r w:rsidRPr="007223FB">
        <w:rPr>
          <w:rFonts w:cs="Candara"/>
          <w:color w:val="000000" w:themeColor="text1"/>
        </w:rPr>
        <w:t xml:space="preserve">En el acumulado (enero-agosto) su ejecución global fue de Q </w:t>
      </w:r>
      <w:r w:rsidRPr="007223FB">
        <w:rPr>
          <w:rFonts w:cs="Arial-Bold"/>
          <w:bCs/>
          <w:color w:val="000000"/>
        </w:rPr>
        <w:t>3,226.88</w:t>
      </w:r>
      <w:r w:rsidRPr="007223FB">
        <w:rPr>
          <w:rFonts w:cs="Arial-Bold"/>
          <w:b/>
          <w:bCs/>
          <w:color w:val="000000"/>
        </w:rPr>
        <w:t xml:space="preserve"> </w:t>
      </w:r>
      <w:r w:rsidRPr="007223FB">
        <w:rPr>
          <w:rFonts w:cs="Candara"/>
          <w:color w:val="000000" w:themeColor="text1"/>
        </w:rPr>
        <w:t>millones equivalente a un 53.24% de avance. Es preocupante al considerar que han trascurridos 8 meses del ejercicio fiscal 2019 y que a la vez el ministerio tendrá que haber ejecutado al finalizar el ejercicio fiscal 2019 Q 2,826.50 millones equivalente a un 46.76% de su presupuesto para poder cumplir las metas programadas, especialmente de los proyectos viales; debe destacarse la incidencia que estos desfases pueden tener en el incremento de los costos. La gráfica siguiente expresa lo relativo al avance financiero global.</w:t>
      </w:r>
    </w:p>
    <w:p w:rsidR="00D4642F" w:rsidRDefault="00D4642F">
      <w:pPr>
        <w:jc w:val="left"/>
        <w:rPr>
          <w:rFonts w:eastAsiaTheme="majorEastAsia" w:cstheme="majorBidi"/>
          <w:b/>
          <w:caps/>
          <w:spacing w:val="10"/>
          <w:sz w:val="18"/>
          <w:lang w:eastAsia="es-GT"/>
        </w:rPr>
      </w:pPr>
      <w:r>
        <w:rPr>
          <w:b/>
          <w:sz w:val="18"/>
        </w:rPr>
        <w:br w:type="page"/>
      </w:r>
    </w:p>
    <w:p w:rsidR="00B27D73" w:rsidRPr="00765ACE" w:rsidRDefault="00B27D73" w:rsidP="00765ACE">
      <w:pPr>
        <w:pStyle w:val="Ttulo5"/>
        <w:numPr>
          <w:ilvl w:val="0"/>
          <w:numId w:val="0"/>
        </w:numPr>
        <w:ind w:left="1008"/>
        <w:rPr>
          <w:rFonts w:ascii="Candara" w:hAnsi="Candara"/>
          <w:b/>
          <w:color w:val="auto"/>
          <w:sz w:val="18"/>
        </w:rPr>
      </w:pPr>
      <w:bookmarkStart w:id="104" w:name="_Toc19527393"/>
      <w:r w:rsidRPr="00765ACE">
        <w:rPr>
          <w:rFonts w:ascii="Candara" w:hAnsi="Candara"/>
          <w:b/>
          <w:color w:val="auto"/>
          <w:sz w:val="18"/>
        </w:rPr>
        <w:lastRenderedPageBreak/>
        <w:t xml:space="preserve">Gráfica </w:t>
      </w:r>
      <w:r w:rsidR="00D4642F">
        <w:rPr>
          <w:rFonts w:ascii="Candara" w:hAnsi="Candara"/>
          <w:b/>
          <w:color w:val="auto"/>
          <w:sz w:val="18"/>
        </w:rPr>
        <w:t>10</w:t>
      </w:r>
      <w:r w:rsidR="00D4642F">
        <w:rPr>
          <w:rFonts w:ascii="Candara" w:hAnsi="Candara"/>
          <w:b/>
          <w:color w:val="auto"/>
          <w:sz w:val="18"/>
        </w:rPr>
        <w:br/>
      </w:r>
      <w:r w:rsidRPr="00765ACE">
        <w:rPr>
          <w:rFonts w:ascii="Candara" w:hAnsi="Candara"/>
          <w:b/>
          <w:color w:val="auto"/>
          <w:sz w:val="18"/>
        </w:rPr>
        <w:t>Ejecución de presupuesto del Ministerio de Comunicaciones, Infraestructura y Vivienda</w:t>
      </w:r>
      <w:r w:rsidR="00D4642F">
        <w:rPr>
          <w:rFonts w:ascii="Candara" w:hAnsi="Candara"/>
          <w:b/>
          <w:color w:val="auto"/>
          <w:sz w:val="18"/>
        </w:rPr>
        <w:br/>
      </w:r>
      <w:r w:rsidRPr="00765ACE">
        <w:rPr>
          <w:rFonts w:ascii="Candara" w:hAnsi="Candara"/>
          <w:b/>
          <w:color w:val="auto"/>
          <w:sz w:val="18"/>
        </w:rPr>
        <w:t>Mayo - Agosto 2019</w:t>
      </w:r>
      <w:r w:rsidR="00D4642F">
        <w:rPr>
          <w:rFonts w:ascii="Candara" w:hAnsi="Candara"/>
          <w:b/>
          <w:color w:val="auto"/>
          <w:sz w:val="18"/>
        </w:rPr>
        <w:br/>
      </w:r>
      <w:r w:rsidRPr="00765ACE">
        <w:rPr>
          <w:rFonts w:ascii="Candara" w:hAnsi="Candara"/>
          <w:b/>
          <w:color w:val="auto"/>
          <w:sz w:val="18"/>
        </w:rPr>
        <w:t>En millones de Q</w:t>
      </w:r>
      <w:bookmarkEnd w:id="104"/>
    </w:p>
    <w:p w:rsidR="00B27D73" w:rsidRPr="007223FB" w:rsidRDefault="00B27D73" w:rsidP="00881D85">
      <w:pPr>
        <w:autoSpaceDE w:val="0"/>
        <w:autoSpaceDN w:val="0"/>
        <w:adjustRightInd w:val="0"/>
        <w:spacing w:before="120" w:after="120" w:line="240" w:lineRule="auto"/>
        <w:rPr>
          <w:rFonts w:cs="Arial-Bold"/>
          <w:bCs/>
          <w:color w:val="000000"/>
        </w:rPr>
      </w:pPr>
      <w:r w:rsidRPr="007223FB">
        <w:rPr>
          <w:rFonts w:cs="Arial-Bold"/>
          <w:bCs/>
          <w:noProof/>
          <w:color w:val="000000"/>
          <w:lang w:eastAsia="es-GT"/>
        </w:rPr>
        <w:drawing>
          <wp:anchor distT="0" distB="0" distL="114300" distR="114300" simplePos="0" relativeHeight="251661312" behindDoc="0" locked="0" layoutInCell="1" allowOverlap="1" wp14:anchorId="0C300E45" wp14:editId="2AA0215E">
            <wp:simplePos x="0" y="0"/>
            <wp:positionH relativeFrom="margin">
              <wp:posOffset>694055</wp:posOffset>
            </wp:positionH>
            <wp:positionV relativeFrom="paragraph">
              <wp:posOffset>4445</wp:posOffset>
            </wp:positionV>
            <wp:extent cx="4443730" cy="2715895"/>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730" cy="2715895"/>
                    </a:xfrm>
                    <a:prstGeom prst="rect">
                      <a:avLst/>
                    </a:prstGeom>
                    <a:noFill/>
                  </pic:spPr>
                </pic:pic>
              </a:graphicData>
            </a:graphic>
            <wp14:sizeRelH relativeFrom="page">
              <wp14:pctWidth>0</wp14:pctWidth>
            </wp14:sizeRelH>
            <wp14:sizeRelV relativeFrom="page">
              <wp14:pctHeight>0</wp14:pctHeight>
            </wp14:sizeRelV>
          </wp:anchor>
        </w:drawing>
      </w:r>
    </w:p>
    <w:p w:rsidR="00B27D73" w:rsidRPr="007223FB" w:rsidRDefault="00B27D73" w:rsidP="00881D85">
      <w:pPr>
        <w:autoSpaceDE w:val="0"/>
        <w:autoSpaceDN w:val="0"/>
        <w:adjustRightInd w:val="0"/>
        <w:spacing w:before="120" w:after="120" w:line="240" w:lineRule="auto"/>
        <w:rPr>
          <w:rFonts w:cs="Arial-Bold"/>
          <w:bCs/>
          <w:color w:val="000000"/>
        </w:rPr>
      </w:pPr>
    </w:p>
    <w:p w:rsidR="00B27D73" w:rsidRPr="007223FB" w:rsidRDefault="00B27D73" w:rsidP="00881D85">
      <w:pPr>
        <w:autoSpaceDE w:val="0"/>
        <w:autoSpaceDN w:val="0"/>
        <w:adjustRightInd w:val="0"/>
        <w:spacing w:before="120" w:after="120" w:line="240" w:lineRule="auto"/>
        <w:rPr>
          <w:rFonts w:cs="Arial-Bold"/>
          <w:bCs/>
          <w:color w:val="000000"/>
        </w:rPr>
      </w:pPr>
    </w:p>
    <w:p w:rsidR="00B27D73" w:rsidRPr="007223FB" w:rsidRDefault="00B27D73" w:rsidP="00881D85">
      <w:pPr>
        <w:autoSpaceDE w:val="0"/>
        <w:autoSpaceDN w:val="0"/>
        <w:adjustRightInd w:val="0"/>
        <w:spacing w:before="120" w:after="120" w:line="240" w:lineRule="auto"/>
        <w:rPr>
          <w:rFonts w:cs="Arial-Bold"/>
          <w:bCs/>
          <w:color w:val="000000"/>
        </w:rPr>
      </w:pPr>
    </w:p>
    <w:p w:rsidR="00B27D73" w:rsidRDefault="00B27D73" w:rsidP="00881D85">
      <w:pPr>
        <w:autoSpaceDE w:val="0"/>
        <w:autoSpaceDN w:val="0"/>
        <w:adjustRightInd w:val="0"/>
        <w:spacing w:before="120" w:after="120" w:line="240" w:lineRule="auto"/>
        <w:rPr>
          <w:rFonts w:cs="Arial-Bold"/>
          <w:bCs/>
          <w:color w:val="000000"/>
        </w:rPr>
      </w:pPr>
    </w:p>
    <w:p w:rsidR="00881D85" w:rsidRDefault="00881D85" w:rsidP="00881D85">
      <w:pPr>
        <w:autoSpaceDE w:val="0"/>
        <w:autoSpaceDN w:val="0"/>
        <w:adjustRightInd w:val="0"/>
        <w:spacing w:before="120" w:after="120" w:line="240" w:lineRule="auto"/>
        <w:rPr>
          <w:rFonts w:cs="Arial-Bold"/>
          <w:bCs/>
          <w:color w:val="000000"/>
        </w:rPr>
      </w:pPr>
    </w:p>
    <w:p w:rsidR="00881D85" w:rsidRDefault="00881D85" w:rsidP="00881D85">
      <w:pPr>
        <w:autoSpaceDE w:val="0"/>
        <w:autoSpaceDN w:val="0"/>
        <w:adjustRightInd w:val="0"/>
        <w:spacing w:before="120" w:after="120" w:line="240" w:lineRule="auto"/>
        <w:rPr>
          <w:rFonts w:cs="Arial-Bold"/>
          <w:bCs/>
          <w:color w:val="000000"/>
        </w:rPr>
      </w:pPr>
    </w:p>
    <w:p w:rsidR="00881D85" w:rsidRDefault="00881D85" w:rsidP="00881D85">
      <w:pPr>
        <w:autoSpaceDE w:val="0"/>
        <w:autoSpaceDN w:val="0"/>
        <w:adjustRightInd w:val="0"/>
        <w:spacing w:before="120" w:after="120" w:line="240" w:lineRule="auto"/>
        <w:rPr>
          <w:rFonts w:cs="Arial-Bold"/>
          <w:bCs/>
          <w:color w:val="000000"/>
        </w:rPr>
      </w:pPr>
    </w:p>
    <w:p w:rsidR="00881D85" w:rsidRDefault="00881D85" w:rsidP="00881D85">
      <w:pPr>
        <w:autoSpaceDE w:val="0"/>
        <w:autoSpaceDN w:val="0"/>
        <w:adjustRightInd w:val="0"/>
        <w:spacing w:before="120" w:after="120" w:line="240" w:lineRule="auto"/>
        <w:rPr>
          <w:rFonts w:cs="Arial-Bold"/>
          <w:bCs/>
          <w:color w:val="000000"/>
        </w:rPr>
      </w:pPr>
    </w:p>
    <w:p w:rsidR="00D4642F" w:rsidRDefault="00D4642F" w:rsidP="00881D85">
      <w:pPr>
        <w:autoSpaceDE w:val="0"/>
        <w:autoSpaceDN w:val="0"/>
        <w:adjustRightInd w:val="0"/>
        <w:spacing w:before="120" w:after="120" w:line="240" w:lineRule="auto"/>
        <w:rPr>
          <w:rFonts w:cs="Arial-Bold"/>
          <w:bCs/>
          <w:color w:val="000000"/>
        </w:rPr>
      </w:pPr>
    </w:p>
    <w:p w:rsidR="00D4642F" w:rsidRDefault="00D4642F" w:rsidP="00881D85">
      <w:pPr>
        <w:autoSpaceDE w:val="0"/>
        <w:autoSpaceDN w:val="0"/>
        <w:adjustRightInd w:val="0"/>
        <w:spacing w:before="120" w:after="120" w:line="240" w:lineRule="auto"/>
        <w:rPr>
          <w:rFonts w:cs="Arial-Bold"/>
          <w:bCs/>
          <w:color w:val="000000"/>
        </w:rPr>
      </w:pPr>
    </w:p>
    <w:p w:rsidR="00D4642F" w:rsidRPr="007223FB" w:rsidRDefault="00D4642F" w:rsidP="00881D85">
      <w:pPr>
        <w:autoSpaceDE w:val="0"/>
        <w:autoSpaceDN w:val="0"/>
        <w:adjustRightInd w:val="0"/>
        <w:spacing w:before="120" w:after="120" w:line="240" w:lineRule="auto"/>
        <w:rPr>
          <w:rFonts w:cs="Arial-Bold"/>
          <w:bCs/>
          <w:color w:val="000000"/>
        </w:rPr>
      </w:pPr>
    </w:p>
    <w:p w:rsidR="00B27D73" w:rsidRPr="00A75532" w:rsidRDefault="00B27D73" w:rsidP="00A75532">
      <w:pPr>
        <w:jc w:val="center"/>
        <w:rPr>
          <w:sz w:val="20"/>
        </w:rPr>
      </w:pPr>
      <w:r w:rsidRPr="00C967AB">
        <w:rPr>
          <w:sz w:val="18"/>
        </w:rPr>
        <w:t xml:space="preserve">Fuente: Elaboración </w:t>
      </w:r>
      <w:r w:rsidR="004A5DEC" w:rsidRPr="00C967AB">
        <w:rPr>
          <w:sz w:val="18"/>
        </w:rPr>
        <w:t>SEGEPLAN con base en datos del SICOIN</w:t>
      </w:r>
      <w:r w:rsidRPr="00C967AB">
        <w:rPr>
          <w:sz w:val="18"/>
        </w:rPr>
        <w:t xml:space="preserve"> del 06/09/19</w:t>
      </w:r>
      <w:r w:rsidRPr="00A75532">
        <w:rPr>
          <w:sz w:val="20"/>
        </w:rPr>
        <w:tab/>
      </w:r>
    </w:p>
    <w:p w:rsidR="00C7398E" w:rsidRPr="007223FB" w:rsidRDefault="00C7398E"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de Desarrollo Social</w:t>
      </w:r>
      <w:r w:rsidR="00B2032B" w:rsidRPr="007223FB">
        <w:rPr>
          <w:b/>
          <w:lang w:val="es-ES" w:eastAsia="es-GT"/>
        </w:rPr>
        <w:t xml:space="preserve"> –MIDES-</w:t>
      </w:r>
    </w:p>
    <w:p w:rsidR="00197BB6" w:rsidRPr="007223FB" w:rsidRDefault="00197BB6" w:rsidP="00881D85">
      <w:pPr>
        <w:tabs>
          <w:tab w:val="left" w:pos="5245"/>
        </w:tabs>
        <w:spacing w:before="120" w:after="120" w:line="240" w:lineRule="auto"/>
        <w:ind w:right="-12"/>
        <w:rPr>
          <w:rFonts w:eastAsia="Candara" w:cs="Candara"/>
        </w:rPr>
      </w:pPr>
      <w:r w:rsidRPr="007223FB">
        <w:rPr>
          <w:rFonts w:eastAsia="Candara" w:cs="Candara"/>
        </w:rPr>
        <w:t>Presenta en el Resultado Institucional “Para el 2019 se ha incrementado a 30,000 la retención escolar y tasa de culminación en todos los niveles de becas de 12,575 en 2015 a 30,000 en 2019”.  Con una asignación financiera inicial y vigente de Q 29.7 millones presenta una ejecución para el cuatrimestre y acumulada de  Q 14.2 millones equivalente a 48%.  Presenta avance físico en los siguientes productos: “Becas de educación media entregada a hombres adolescentes y jóvenes en situación de riesgo y vulnerabilidad social”; con una ejecución física para el cuatrimestre y acumulada de 59%. , “Becas de educación superior entregada a adolescentes y jóvenes” con un avance de 40% para el cuatrimestre y 38% acumulado. “Becas de empleo entregada a adolescentes y jóvenes” con un avance para el cuatrimestre de 45% y acumulada de 43%; “Beca artesano” con una ejecución física para el cuatrimestre y acumulada de 33%.</w:t>
      </w:r>
    </w:p>
    <w:p w:rsidR="003137EE" w:rsidRPr="007223FB" w:rsidRDefault="00197BB6" w:rsidP="00881D85">
      <w:pPr>
        <w:autoSpaceDE w:val="0"/>
        <w:autoSpaceDN w:val="0"/>
        <w:adjustRightInd w:val="0"/>
        <w:spacing w:before="120" w:after="120" w:line="240" w:lineRule="auto"/>
        <w:ind w:right="-12"/>
        <w:rPr>
          <w:rFonts w:eastAsia="Candara" w:cs="Candara"/>
          <w:spacing w:val="1"/>
        </w:rPr>
      </w:pPr>
      <w:r w:rsidRPr="007223FB">
        <w:rPr>
          <w:rFonts w:eastAsia="Candara" w:cs="Candara"/>
        </w:rPr>
        <w:t>En el programa 19 “Dotaciones, servicios e infraestructura para el desarrollo social” correspondiente a la unidad ejecutora “Fondo de Desarrollo Social”</w:t>
      </w:r>
      <w:r w:rsidR="003137EE" w:rsidRPr="007223FB">
        <w:rPr>
          <w:rFonts w:eastAsia="Candara" w:cs="Candara"/>
        </w:rPr>
        <w:t xml:space="preserve"> –</w:t>
      </w:r>
      <w:r w:rsidRPr="007223FB">
        <w:rPr>
          <w:rFonts w:eastAsia="Candara" w:cs="Candara"/>
        </w:rPr>
        <w:t>Fodes</w:t>
      </w:r>
      <w:r w:rsidR="003137EE" w:rsidRPr="007223FB">
        <w:rPr>
          <w:rFonts w:eastAsia="Candara" w:cs="Candara"/>
        </w:rPr>
        <w:t>-</w:t>
      </w:r>
      <w:r w:rsidRPr="007223FB">
        <w:rPr>
          <w:rFonts w:eastAsia="Candara" w:cs="Candara"/>
        </w:rPr>
        <w:t xml:space="preserve">, registra un presupuesto inicial de Q 467.6 millones y vigente de Q 405  millones con una ejecución financiera para el cuatrimestre de Q 71.4 millones equivalente al 18% y un acumulado de  Q 93.3 millones de quetzales correspondiente a 23%.  </w:t>
      </w:r>
      <w:r w:rsidR="003137EE" w:rsidRPr="007223FB">
        <w:rPr>
          <w:rFonts w:eastAsia="Candara" w:cs="Candara"/>
          <w:spacing w:val="-1"/>
        </w:rPr>
        <w:t xml:space="preserve">En </w:t>
      </w:r>
      <w:r w:rsidR="003137EE" w:rsidRPr="007223FB">
        <w:rPr>
          <w:rFonts w:eastAsia="Candara" w:cs="Candara"/>
        </w:rPr>
        <w:t>e</w:t>
      </w:r>
      <w:r w:rsidR="003137EE" w:rsidRPr="007223FB">
        <w:rPr>
          <w:rFonts w:eastAsia="Candara" w:cs="Candara"/>
          <w:spacing w:val="1"/>
        </w:rPr>
        <w:t>s</w:t>
      </w:r>
      <w:r w:rsidR="003137EE" w:rsidRPr="007223FB">
        <w:rPr>
          <w:rFonts w:eastAsia="Candara" w:cs="Candara"/>
        </w:rPr>
        <w:t>te</w:t>
      </w:r>
      <w:r w:rsidR="003137EE" w:rsidRPr="007223FB">
        <w:rPr>
          <w:rFonts w:eastAsia="Candara" w:cs="Candara"/>
          <w:spacing w:val="14"/>
        </w:rPr>
        <w:t xml:space="preserve"> </w:t>
      </w:r>
      <w:r w:rsidR="003137EE" w:rsidRPr="007223FB">
        <w:rPr>
          <w:rFonts w:eastAsia="Candara" w:cs="Candara"/>
        </w:rPr>
        <w:t>f</w:t>
      </w:r>
      <w:r w:rsidR="003137EE" w:rsidRPr="007223FB">
        <w:rPr>
          <w:rFonts w:eastAsia="Candara" w:cs="Candara"/>
          <w:spacing w:val="-1"/>
        </w:rPr>
        <w:t>o</w:t>
      </w:r>
      <w:r w:rsidR="003137EE" w:rsidRPr="007223FB">
        <w:rPr>
          <w:rFonts w:eastAsia="Candara" w:cs="Candara"/>
          <w:spacing w:val="1"/>
        </w:rPr>
        <w:t>nd</w:t>
      </w:r>
      <w:r w:rsidR="003137EE" w:rsidRPr="007223FB">
        <w:rPr>
          <w:rFonts w:eastAsia="Candara" w:cs="Candara"/>
        </w:rPr>
        <w:t>o</w:t>
      </w:r>
      <w:r w:rsidR="003137EE" w:rsidRPr="007223FB">
        <w:rPr>
          <w:rFonts w:eastAsia="Candara" w:cs="Candara"/>
          <w:spacing w:val="14"/>
        </w:rPr>
        <w:t xml:space="preserve"> se cuenta con el </w:t>
      </w:r>
      <w:r w:rsidR="003137EE" w:rsidRPr="007223FB">
        <w:rPr>
          <w:rFonts w:eastAsia="Candara" w:cs="Candara"/>
          <w:spacing w:val="-2"/>
        </w:rPr>
        <w:t>p</w:t>
      </w:r>
      <w:r w:rsidR="003137EE" w:rsidRPr="007223FB">
        <w:rPr>
          <w:rFonts w:eastAsia="Candara" w:cs="Candara"/>
          <w:spacing w:val="-1"/>
        </w:rPr>
        <w:t>ro</w:t>
      </w:r>
      <w:r w:rsidR="003137EE" w:rsidRPr="007223FB">
        <w:rPr>
          <w:rFonts w:eastAsia="Candara" w:cs="Candara"/>
          <w:spacing w:val="1"/>
        </w:rPr>
        <w:t>gr</w:t>
      </w:r>
      <w:r w:rsidR="003137EE" w:rsidRPr="007223FB">
        <w:rPr>
          <w:rFonts w:eastAsia="Candara" w:cs="Candara"/>
        </w:rPr>
        <w:t>ama:</w:t>
      </w:r>
      <w:r w:rsidR="003137EE" w:rsidRPr="007223FB">
        <w:rPr>
          <w:rFonts w:eastAsia="Candara" w:cs="Candara"/>
          <w:spacing w:val="1"/>
        </w:rPr>
        <w:t xml:space="preserve"> </w:t>
      </w:r>
      <w:r w:rsidR="003137EE" w:rsidRPr="007223FB">
        <w:rPr>
          <w:rFonts w:eastAsia="Candara" w:cs="Candara"/>
          <w:spacing w:val="-1"/>
        </w:rPr>
        <w:t>“</w:t>
      </w:r>
      <w:r w:rsidR="003137EE" w:rsidRPr="007223FB">
        <w:rPr>
          <w:rFonts w:eastAsia="Candara" w:cs="Candara"/>
        </w:rPr>
        <w:t>Di</w:t>
      </w:r>
      <w:r w:rsidR="003137EE" w:rsidRPr="007223FB">
        <w:rPr>
          <w:rFonts w:eastAsia="Candara" w:cs="Candara"/>
          <w:spacing w:val="1"/>
        </w:rPr>
        <w:t>r</w:t>
      </w:r>
      <w:r w:rsidR="003137EE" w:rsidRPr="007223FB">
        <w:rPr>
          <w:rFonts w:eastAsia="Candara" w:cs="Candara"/>
        </w:rPr>
        <w:t>e</w:t>
      </w:r>
      <w:r w:rsidR="003137EE" w:rsidRPr="007223FB">
        <w:rPr>
          <w:rFonts w:eastAsia="Candara" w:cs="Candara"/>
          <w:spacing w:val="-1"/>
        </w:rPr>
        <w:t>c</w:t>
      </w:r>
      <w:r w:rsidR="003137EE" w:rsidRPr="007223FB">
        <w:rPr>
          <w:rFonts w:eastAsia="Candara" w:cs="Candara"/>
          <w:spacing w:val="1"/>
        </w:rPr>
        <w:t>c</w:t>
      </w:r>
      <w:r w:rsidR="003137EE" w:rsidRPr="007223FB">
        <w:rPr>
          <w:rFonts w:eastAsia="Candara" w:cs="Candara"/>
        </w:rPr>
        <w:t>i</w:t>
      </w:r>
      <w:r w:rsidR="003137EE" w:rsidRPr="007223FB">
        <w:rPr>
          <w:rFonts w:eastAsia="Candara" w:cs="Candara"/>
          <w:spacing w:val="-1"/>
        </w:rPr>
        <w:t>ó</w:t>
      </w:r>
      <w:r w:rsidR="003137EE" w:rsidRPr="007223FB">
        <w:rPr>
          <w:rFonts w:eastAsia="Candara" w:cs="Candara"/>
        </w:rPr>
        <w:t>n y</w:t>
      </w:r>
      <w:r w:rsidR="003137EE" w:rsidRPr="007223FB">
        <w:rPr>
          <w:rFonts w:eastAsia="Candara" w:cs="Candara"/>
          <w:spacing w:val="2"/>
        </w:rPr>
        <w:t xml:space="preserve"> </w:t>
      </w:r>
      <w:r w:rsidR="003137EE" w:rsidRPr="007223FB">
        <w:rPr>
          <w:rFonts w:eastAsia="Candara" w:cs="Candara"/>
          <w:spacing w:val="1"/>
        </w:rPr>
        <w:t>c</w:t>
      </w:r>
      <w:r w:rsidR="003137EE" w:rsidRPr="007223FB">
        <w:rPr>
          <w:rFonts w:eastAsia="Candara" w:cs="Candara"/>
          <w:spacing w:val="-1"/>
        </w:rPr>
        <w:t>oor</w:t>
      </w:r>
      <w:r w:rsidR="003137EE" w:rsidRPr="007223FB">
        <w:rPr>
          <w:rFonts w:eastAsia="Candara" w:cs="Candara"/>
          <w:spacing w:val="1"/>
        </w:rPr>
        <w:t>d</w:t>
      </w:r>
      <w:r w:rsidR="003137EE" w:rsidRPr="007223FB">
        <w:rPr>
          <w:rFonts w:eastAsia="Candara" w:cs="Candara"/>
        </w:rPr>
        <w:t>i</w:t>
      </w:r>
      <w:r w:rsidR="003137EE" w:rsidRPr="007223FB">
        <w:rPr>
          <w:rFonts w:eastAsia="Candara" w:cs="Candara"/>
          <w:spacing w:val="1"/>
        </w:rPr>
        <w:t>n</w:t>
      </w:r>
      <w:r w:rsidR="003137EE" w:rsidRPr="007223FB">
        <w:rPr>
          <w:rFonts w:eastAsia="Candara" w:cs="Candara"/>
          <w:spacing w:val="-2"/>
        </w:rPr>
        <w:t>a</w:t>
      </w:r>
      <w:r w:rsidR="003137EE" w:rsidRPr="007223FB">
        <w:rPr>
          <w:rFonts w:eastAsia="Candara" w:cs="Candara"/>
          <w:spacing w:val="1"/>
        </w:rPr>
        <w:t>c</w:t>
      </w:r>
      <w:r w:rsidR="003137EE" w:rsidRPr="007223FB">
        <w:rPr>
          <w:rFonts w:eastAsia="Candara" w:cs="Candara"/>
        </w:rPr>
        <w:t>i</w:t>
      </w:r>
      <w:r w:rsidR="003137EE" w:rsidRPr="007223FB">
        <w:rPr>
          <w:rFonts w:eastAsia="Candara" w:cs="Candara"/>
          <w:spacing w:val="-1"/>
        </w:rPr>
        <w:t>ó</w:t>
      </w:r>
      <w:r w:rsidR="003137EE" w:rsidRPr="007223FB">
        <w:rPr>
          <w:rFonts w:eastAsia="Candara" w:cs="Candara"/>
          <w:spacing w:val="1"/>
        </w:rPr>
        <w:t>n</w:t>
      </w:r>
      <w:r w:rsidR="003137EE" w:rsidRPr="007223FB">
        <w:rPr>
          <w:rFonts w:eastAsia="Candara" w:cs="Candara"/>
        </w:rPr>
        <w:t>”</w:t>
      </w:r>
      <w:r w:rsidR="003137EE" w:rsidRPr="007223FB">
        <w:rPr>
          <w:rFonts w:eastAsia="Candara" w:cs="Candara"/>
          <w:spacing w:val="1"/>
        </w:rPr>
        <w:t xml:space="preserve"> c</w:t>
      </w:r>
      <w:r w:rsidR="003137EE" w:rsidRPr="007223FB">
        <w:rPr>
          <w:rFonts w:eastAsia="Candara" w:cs="Candara"/>
          <w:spacing w:val="-1"/>
        </w:rPr>
        <w:t>o</w:t>
      </w:r>
      <w:r w:rsidR="003137EE" w:rsidRPr="007223FB">
        <w:rPr>
          <w:rFonts w:eastAsia="Candara" w:cs="Candara"/>
        </w:rPr>
        <w:t>n</w:t>
      </w:r>
      <w:r w:rsidR="003137EE" w:rsidRPr="007223FB">
        <w:rPr>
          <w:rFonts w:eastAsia="Candara" w:cs="Candara"/>
          <w:spacing w:val="2"/>
        </w:rPr>
        <w:t xml:space="preserve"> </w:t>
      </w:r>
      <w:r w:rsidR="003137EE" w:rsidRPr="007223FB">
        <w:rPr>
          <w:rFonts w:eastAsia="Candara" w:cs="Candara"/>
          <w:spacing w:val="-3"/>
        </w:rPr>
        <w:t>u</w:t>
      </w:r>
      <w:r w:rsidR="003137EE" w:rsidRPr="007223FB">
        <w:rPr>
          <w:rFonts w:eastAsia="Candara" w:cs="Candara"/>
          <w:spacing w:val="-2"/>
        </w:rPr>
        <w:t>n</w:t>
      </w:r>
      <w:r w:rsidR="003137EE" w:rsidRPr="007223FB">
        <w:rPr>
          <w:rFonts w:eastAsia="Candara" w:cs="Candara"/>
        </w:rPr>
        <w:t>a a</w:t>
      </w:r>
      <w:r w:rsidR="003137EE" w:rsidRPr="007223FB">
        <w:rPr>
          <w:rFonts w:eastAsia="Candara" w:cs="Candara"/>
          <w:spacing w:val="1"/>
        </w:rPr>
        <w:t>s</w:t>
      </w:r>
      <w:r w:rsidR="003137EE" w:rsidRPr="007223FB">
        <w:rPr>
          <w:rFonts w:eastAsia="Candara" w:cs="Candara"/>
        </w:rPr>
        <w:t>i</w:t>
      </w:r>
      <w:r w:rsidR="003137EE" w:rsidRPr="007223FB">
        <w:rPr>
          <w:rFonts w:eastAsia="Candara" w:cs="Candara"/>
          <w:spacing w:val="-1"/>
        </w:rPr>
        <w:t>g</w:t>
      </w:r>
      <w:r w:rsidR="003137EE" w:rsidRPr="007223FB">
        <w:rPr>
          <w:rFonts w:eastAsia="Candara" w:cs="Candara"/>
          <w:spacing w:val="1"/>
        </w:rPr>
        <w:t>n</w:t>
      </w:r>
      <w:r w:rsidR="003137EE" w:rsidRPr="007223FB">
        <w:rPr>
          <w:rFonts w:eastAsia="Candara" w:cs="Candara"/>
        </w:rPr>
        <w:t>a</w:t>
      </w:r>
      <w:r w:rsidR="003137EE" w:rsidRPr="007223FB">
        <w:rPr>
          <w:rFonts w:eastAsia="Candara" w:cs="Candara"/>
          <w:spacing w:val="1"/>
        </w:rPr>
        <w:t>c</w:t>
      </w:r>
      <w:r w:rsidR="003137EE" w:rsidRPr="007223FB">
        <w:rPr>
          <w:rFonts w:eastAsia="Candara" w:cs="Candara"/>
        </w:rPr>
        <w:t>i</w:t>
      </w:r>
      <w:r w:rsidR="003137EE" w:rsidRPr="007223FB">
        <w:rPr>
          <w:rFonts w:eastAsia="Candara" w:cs="Candara"/>
          <w:spacing w:val="-1"/>
        </w:rPr>
        <w:t>ó</w:t>
      </w:r>
      <w:r w:rsidR="003137EE" w:rsidRPr="007223FB">
        <w:rPr>
          <w:rFonts w:eastAsia="Candara" w:cs="Candara"/>
        </w:rPr>
        <w:t>n</w:t>
      </w:r>
      <w:r w:rsidR="003137EE" w:rsidRPr="007223FB">
        <w:rPr>
          <w:rFonts w:eastAsia="Candara" w:cs="Candara"/>
          <w:spacing w:val="-6"/>
        </w:rPr>
        <w:t xml:space="preserve"> inicial de Q 44.2 millones y un vigente de Q 43.6 millones, con una ejecución acumulada de Q 29 millones  correspondiente a 66%.   Presenta </w:t>
      </w:r>
      <w:r w:rsidR="003137EE" w:rsidRPr="007223FB">
        <w:rPr>
          <w:rFonts w:eastAsia="Candara" w:cs="Candara"/>
        </w:rPr>
        <w:t>p</w:t>
      </w:r>
      <w:r w:rsidR="003137EE" w:rsidRPr="007223FB">
        <w:rPr>
          <w:rFonts w:eastAsia="Candara" w:cs="Candara"/>
          <w:spacing w:val="1"/>
        </w:rPr>
        <w:t>r</w:t>
      </w:r>
      <w:r w:rsidR="003137EE" w:rsidRPr="007223FB">
        <w:rPr>
          <w:rFonts w:eastAsia="Candara" w:cs="Candara"/>
          <w:spacing w:val="-1"/>
        </w:rPr>
        <w:t>o</w:t>
      </w:r>
      <w:r w:rsidR="003137EE" w:rsidRPr="007223FB">
        <w:rPr>
          <w:rFonts w:eastAsia="Candara" w:cs="Candara"/>
          <w:spacing w:val="1"/>
        </w:rPr>
        <w:t>gr</w:t>
      </w:r>
      <w:r w:rsidR="003137EE" w:rsidRPr="007223FB">
        <w:rPr>
          <w:rFonts w:eastAsia="Candara" w:cs="Candara"/>
        </w:rPr>
        <w:t>am</w:t>
      </w:r>
      <w:r w:rsidR="003137EE" w:rsidRPr="007223FB">
        <w:rPr>
          <w:rFonts w:eastAsia="Candara" w:cs="Candara"/>
          <w:spacing w:val="-2"/>
        </w:rPr>
        <w:t>a</w:t>
      </w:r>
      <w:r w:rsidR="003137EE" w:rsidRPr="007223FB">
        <w:rPr>
          <w:rFonts w:eastAsia="Candara" w:cs="Candara"/>
          <w:spacing w:val="1"/>
        </w:rPr>
        <w:t>c</w:t>
      </w:r>
      <w:r w:rsidR="003137EE" w:rsidRPr="007223FB">
        <w:rPr>
          <w:rFonts w:eastAsia="Candara" w:cs="Candara"/>
        </w:rPr>
        <w:t>i</w:t>
      </w:r>
      <w:r w:rsidR="003137EE" w:rsidRPr="007223FB">
        <w:rPr>
          <w:rFonts w:eastAsia="Candara" w:cs="Candara"/>
          <w:spacing w:val="-1"/>
        </w:rPr>
        <w:t>ó</w:t>
      </w:r>
      <w:r w:rsidR="003137EE" w:rsidRPr="007223FB">
        <w:rPr>
          <w:rFonts w:eastAsia="Candara" w:cs="Candara"/>
        </w:rPr>
        <w:t>n</w:t>
      </w:r>
      <w:r w:rsidR="003137EE" w:rsidRPr="007223FB">
        <w:rPr>
          <w:rFonts w:eastAsia="Candara" w:cs="Candara"/>
          <w:spacing w:val="1"/>
        </w:rPr>
        <w:t xml:space="preserve"> </w:t>
      </w:r>
      <w:r w:rsidR="003137EE" w:rsidRPr="007223FB">
        <w:rPr>
          <w:rFonts w:eastAsia="Candara" w:cs="Candara"/>
        </w:rPr>
        <w:t>f</w:t>
      </w:r>
      <w:r w:rsidR="003137EE" w:rsidRPr="007223FB">
        <w:rPr>
          <w:rFonts w:eastAsia="Candara" w:cs="Candara"/>
          <w:spacing w:val="-2"/>
        </w:rPr>
        <w:t>í</w:t>
      </w:r>
      <w:r w:rsidR="003137EE" w:rsidRPr="007223FB">
        <w:rPr>
          <w:rFonts w:eastAsia="Candara" w:cs="Candara"/>
          <w:spacing w:val="1"/>
        </w:rPr>
        <w:t>s</w:t>
      </w:r>
      <w:r w:rsidR="003137EE" w:rsidRPr="007223FB">
        <w:rPr>
          <w:rFonts w:eastAsia="Candara" w:cs="Candara"/>
        </w:rPr>
        <w:t>i</w:t>
      </w:r>
      <w:r w:rsidR="003137EE" w:rsidRPr="007223FB">
        <w:rPr>
          <w:rFonts w:eastAsia="Candara" w:cs="Candara"/>
          <w:spacing w:val="1"/>
        </w:rPr>
        <w:t>c</w:t>
      </w:r>
      <w:r w:rsidR="003137EE" w:rsidRPr="007223FB">
        <w:rPr>
          <w:rFonts w:eastAsia="Candara" w:cs="Candara"/>
          <w:spacing w:val="-2"/>
        </w:rPr>
        <w:t>a</w:t>
      </w:r>
      <w:r w:rsidR="003137EE" w:rsidRPr="007223FB">
        <w:rPr>
          <w:rFonts w:eastAsia="Candara" w:cs="Candara"/>
          <w:spacing w:val="2"/>
        </w:rPr>
        <w:t xml:space="preserve"> anual </w:t>
      </w:r>
      <w:r w:rsidR="003137EE" w:rsidRPr="007223FB">
        <w:rPr>
          <w:rFonts w:eastAsia="Candara" w:cs="Candara"/>
          <w:spacing w:val="1"/>
        </w:rPr>
        <w:t>d</w:t>
      </w:r>
      <w:r w:rsidR="003137EE" w:rsidRPr="007223FB">
        <w:rPr>
          <w:rFonts w:eastAsia="Candara" w:cs="Candara"/>
        </w:rPr>
        <w:t>e 12</w:t>
      </w:r>
      <w:r w:rsidR="003137EE" w:rsidRPr="007223FB">
        <w:rPr>
          <w:rFonts w:eastAsia="Candara" w:cs="Candara"/>
          <w:spacing w:val="-1"/>
        </w:rPr>
        <w:t xml:space="preserve"> </w:t>
      </w:r>
      <w:r w:rsidR="003137EE" w:rsidRPr="007223FB">
        <w:rPr>
          <w:rFonts w:eastAsia="Candara" w:cs="Candara"/>
          <w:spacing w:val="1"/>
        </w:rPr>
        <w:t>d</w:t>
      </w:r>
      <w:r w:rsidR="003137EE" w:rsidRPr="007223FB">
        <w:rPr>
          <w:rFonts w:eastAsia="Candara" w:cs="Candara"/>
          <w:spacing w:val="-1"/>
        </w:rPr>
        <w:t>o</w:t>
      </w:r>
      <w:r w:rsidR="003137EE" w:rsidRPr="007223FB">
        <w:rPr>
          <w:rFonts w:eastAsia="Candara" w:cs="Candara"/>
        </w:rPr>
        <w:t>cume</w:t>
      </w:r>
      <w:r w:rsidR="003137EE" w:rsidRPr="007223FB">
        <w:rPr>
          <w:rFonts w:eastAsia="Candara" w:cs="Candara"/>
          <w:spacing w:val="1"/>
        </w:rPr>
        <w:t>n</w:t>
      </w:r>
      <w:r w:rsidR="003137EE" w:rsidRPr="007223FB">
        <w:rPr>
          <w:rFonts w:eastAsia="Candara" w:cs="Candara"/>
        </w:rPr>
        <w:t>t</w:t>
      </w:r>
      <w:r w:rsidR="003137EE" w:rsidRPr="007223FB">
        <w:rPr>
          <w:rFonts w:eastAsia="Candara" w:cs="Candara"/>
          <w:spacing w:val="-1"/>
        </w:rPr>
        <w:t>os</w:t>
      </w:r>
      <w:r w:rsidR="003137EE" w:rsidRPr="007223FB">
        <w:rPr>
          <w:rFonts w:eastAsia="Candara" w:cs="Candara"/>
          <w:spacing w:val="1"/>
        </w:rPr>
        <w:t xml:space="preserve">.  </w:t>
      </w:r>
    </w:p>
    <w:p w:rsidR="003137EE" w:rsidRPr="007223FB" w:rsidRDefault="003137EE" w:rsidP="00881D85">
      <w:pPr>
        <w:autoSpaceDE w:val="0"/>
        <w:autoSpaceDN w:val="0"/>
        <w:adjustRightInd w:val="0"/>
        <w:spacing w:before="120" w:after="120" w:line="240" w:lineRule="auto"/>
        <w:ind w:right="-12"/>
        <w:rPr>
          <w:rFonts w:eastAsia="Candara" w:cs="Candara"/>
        </w:rPr>
      </w:pPr>
      <w:r w:rsidRPr="007223FB">
        <w:rPr>
          <w:rFonts w:eastAsia="Candara" w:cs="Candara"/>
          <w:spacing w:val="1"/>
        </w:rPr>
        <w:t>Pr</w:t>
      </w:r>
      <w:r w:rsidRPr="007223FB">
        <w:rPr>
          <w:rFonts w:eastAsia="Candara" w:cs="Candara"/>
          <w:spacing w:val="-1"/>
        </w:rPr>
        <w:t>og</w:t>
      </w:r>
      <w:r w:rsidRPr="007223FB">
        <w:rPr>
          <w:rFonts w:eastAsia="Candara" w:cs="Candara"/>
          <w:spacing w:val="1"/>
        </w:rPr>
        <w:t>r</w:t>
      </w:r>
      <w:r w:rsidRPr="007223FB">
        <w:rPr>
          <w:rFonts w:eastAsia="Candara" w:cs="Candara"/>
          <w:spacing w:val="-2"/>
        </w:rPr>
        <w:t>a</w:t>
      </w:r>
      <w:r w:rsidRPr="007223FB">
        <w:rPr>
          <w:rFonts w:eastAsia="Candara" w:cs="Candara"/>
        </w:rPr>
        <w:t xml:space="preserve">ma en el SNIP una cartera de 34 </w:t>
      </w:r>
      <w:r w:rsidRPr="007223FB">
        <w:rPr>
          <w:rFonts w:eastAsia="Candara" w:cs="Candara"/>
          <w:spacing w:val="-1"/>
        </w:rPr>
        <w:t>p</w:t>
      </w:r>
      <w:r w:rsidRPr="007223FB">
        <w:rPr>
          <w:rFonts w:eastAsia="Candara" w:cs="Candara"/>
          <w:spacing w:val="1"/>
        </w:rPr>
        <w:t>r</w:t>
      </w:r>
      <w:r w:rsidRPr="007223FB">
        <w:rPr>
          <w:rFonts w:eastAsia="Candara" w:cs="Candara"/>
          <w:spacing w:val="-1"/>
        </w:rPr>
        <w:t>o</w:t>
      </w:r>
      <w:r w:rsidRPr="007223FB">
        <w:rPr>
          <w:rFonts w:eastAsia="Candara" w:cs="Candara"/>
          <w:spacing w:val="1"/>
        </w:rPr>
        <w:t>y</w:t>
      </w:r>
      <w:r w:rsidRPr="007223FB">
        <w:rPr>
          <w:rFonts w:eastAsia="Candara" w:cs="Candara"/>
        </w:rPr>
        <w:t>e</w:t>
      </w:r>
      <w:r w:rsidRPr="007223FB">
        <w:rPr>
          <w:rFonts w:eastAsia="Candara" w:cs="Candara"/>
          <w:spacing w:val="1"/>
        </w:rPr>
        <w:t>c</w:t>
      </w:r>
      <w:r w:rsidRPr="007223FB">
        <w:rPr>
          <w:rFonts w:eastAsia="Candara" w:cs="Candara"/>
        </w:rPr>
        <w:t>t</w:t>
      </w:r>
      <w:r w:rsidRPr="007223FB">
        <w:rPr>
          <w:rFonts w:eastAsia="Candara" w:cs="Candara"/>
          <w:spacing w:val="-3"/>
        </w:rPr>
        <w:t>o</w:t>
      </w:r>
      <w:r w:rsidRPr="007223FB">
        <w:rPr>
          <w:rFonts w:eastAsia="Candara" w:cs="Candara"/>
        </w:rPr>
        <w:t>s</w:t>
      </w:r>
      <w:r w:rsidRPr="007223FB">
        <w:rPr>
          <w:rFonts w:eastAsia="Candara" w:cs="Candara"/>
          <w:spacing w:val="2"/>
        </w:rPr>
        <w:t xml:space="preserve"> </w:t>
      </w:r>
      <w:r w:rsidRPr="007223FB">
        <w:rPr>
          <w:rFonts w:eastAsia="Candara" w:cs="Candara"/>
          <w:spacing w:val="1"/>
        </w:rPr>
        <w:t>d</w:t>
      </w:r>
      <w:r w:rsidRPr="007223FB">
        <w:rPr>
          <w:rFonts w:eastAsia="Candara" w:cs="Candara"/>
        </w:rPr>
        <w:t>e i</w:t>
      </w:r>
      <w:r w:rsidRPr="007223FB">
        <w:rPr>
          <w:rFonts w:eastAsia="Candara" w:cs="Candara"/>
          <w:spacing w:val="1"/>
        </w:rPr>
        <w:t>n</w:t>
      </w:r>
      <w:r w:rsidRPr="007223FB">
        <w:rPr>
          <w:rFonts w:eastAsia="Candara" w:cs="Candara"/>
        </w:rPr>
        <w:t>f</w:t>
      </w:r>
      <w:r w:rsidRPr="007223FB">
        <w:rPr>
          <w:rFonts w:eastAsia="Candara" w:cs="Candara"/>
          <w:spacing w:val="-1"/>
        </w:rPr>
        <w:t>r</w:t>
      </w:r>
      <w:r w:rsidRPr="007223FB">
        <w:rPr>
          <w:rFonts w:eastAsia="Candara" w:cs="Candara"/>
        </w:rPr>
        <w:t>ae</w:t>
      </w:r>
      <w:r w:rsidRPr="007223FB">
        <w:rPr>
          <w:rFonts w:eastAsia="Candara" w:cs="Candara"/>
          <w:spacing w:val="1"/>
        </w:rPr>
        <w:t>s</w:t>
      </w:r>
      <w:r w:rsidRPr="007223FB">
        <w:rPr>
          <w:rFonts w:eastAsia="Candara" w:cs="Candara"/>
        </w:rPr>
        <w:t>t</w:t>
      </w:r>
      <w:r w:rsidRPr="007223FB">
        <w:rPr>
          <w:rFonts w:eastAsia="Candara" w:cs="Candara"/>
          <w:spacing w:val="1"/>
        </w:rPr>
        <w:t>r</w:t>
      </w:r>
      <w:r w:rsidRPr="007223FB">
        <w:rPr>
          <w:rFonts w:eastAsia="Candara" w:cs="Candara"/>
          <w:spacing w:val="-3"/>
        </w:rPr>
        <w:t>u</w:t>
      </w:r>
      <w:r w:rsidRPr="007223FB">
        <w:rPr>
          <w:rFonts w:eastAsia="Candara" w:cs="Candara"/>
          <w:spacing w:val="1"/>
        </w:rPr>
        <w:t>c</w:t>
      </w:r>
      <w:r w:rsidRPr="007223FB">
        <w:rPr>
          <w:rFonts w:eastAsia="Candara" w:cs="Candara"/>
        </w:rPr>
        <w:t>tu</w:t>
      </w:r>
      <w:r w:rsidRPr="007223FB">
        <w:rPr>
          <w:rFonts w:eastAsia="Candara" w:cs="Candara"/>
          <w:spacing w:val="1"/>
        </w:rPr>
        <w:t>r</w:t>
      </w:r>
      <w:r w:rsidRPr="007223FB">
        <w:rPr>
          <w:rFonts w:eastAsia="Candara" w:cs="Candara"/>
        </w:rPr>
        <w:t>a en ejecución,</w:t>
      </w:r>
      <w:r w:rsidRPr="007223FB">
        <w:rPr>
          <w:rFonts w:eastAsia="Candara" w:cs="Candara"/>
          <w:spacing w:val="-5"/>
        </w:rPr>
        <w:t xml:space="preserve"> </w:t>
      </w:r>
      <w:r w:rsidRPr="007223FB">
        <w:rPr>
          <w:rFonts w:eastAsia="Candara" w:cs="Candara"/>
          <w:spacing w:val="1"/>
        </w:rPr>
        <w:t>c</w:t>
      </w:r>
      <w:r w:rsidRPr="007223FB">
        <w:rPr>
          <w:rFonts w:eastAsia="Candara" w:cs="Candara"/>
          <w:spacing w:val="-3"/>
        </w:rPr>
        <w:t>o</w:t>
      </w:r>
      <w:r w:rsidRPr="007223FB">
        <w:rPr>
          <w:rFonts w:eastAsia="Candara" w:cs="Candara"/>
        </w:rPr>
        <w:t>n u</w:t>
      </w:r>
      <w:r w:rsidRPr="007223FB">
        <w:rPr>
          <w:rFonts w:eastAsia="Candara" w:cs="Candara"/>
          <w:spacing w:val="1"/>
        </w:rPr>
        <w:t>n</w:t>
      </w:r>
      <w:r w:rsidRPr="007223FB">
        <w:rPr>
          <w:rFonts w:eastAsia="Candara" w:cs="Candara"/>
        </w:rPr>
        <w:t>a</w:t>
      </w:r>
      <w:r w:rsidRPr="007223FB">
        <w:rPr>
          <w:rFonts w:eastAsia="Candara" w:cs="Candara"/>
          <w:spacing w:val="3"/>
        </w:rPr>
        <w:t xml:space="preserve"> </w:t>
      </w:r>
      <w:r w:rsidRPr="007223FB">
        <w:rPr>
          <w:rFonts w:eastAsia="Candara" w:cs="Candara"/>
        </w:rPr>
        <w:t>a</w:t>
      </w:r>
      <w:r w:rsidRPr="007223FB">
        <w:rPr>
          <w:rFonts w:eastAsia="Candara" w:cs="Candara"/>
          <w:spacing w:val="1"/>
        </w:rPr>
        <w:t>s</w:t>
      </w:r>
      <w:r w:rsidRPr="007223FB">
        <w:rPr>
          <w:rFonts w:eastAsia="Candara" w:cs="Candara"/>
        </w:rPr>
        <w:t>i</w:t>
      </w:r>
      <w:r w:rsidRPr="007223FB">
        <w:rPr>
          <w:rFonts w:eastAsia="Candara" w:cs="Candara"/>
          <w:spacing w:val="-1"/>
        </w:rPr>
        <w:t>g</w:t>
      </w:r>
      <w:r w:rsidRPr="007223FB">
        <w:rPr>
          <w:rFonts w:eastAsia="Candara" w:cs="Candara"/>
          <w:spacing w:val="1"/>
        </w:rPr>
        <w:t>n</w:t>
      </w:r>
      <w:r w:rsidRPr="007223FB">
        <w:rPr>
          <w:rFonts w:eastAsia="Candara" w:cs="Candara"/>
        </w:rPr>
        <w:t>a</w:t>
      </w:r>
      <w:r w:rsidRPr="007223FB">
        <w:rPr>
          <w:rFonts w:eastAsia="Candara" w:cs="Candara"/>
          <w:spacing w:val="1"/>
        </w:rPr>
        <w:t>c</w:t>
      </w:r>
      <w:r w:rsidRPr="007223FB">
        <w:rPr>
          <w:rFonts w:eastAsia="Candara" w:cs="Candara"/>
        </w:rPr>
        <w:t>i</w:t>
      </w:r>
      <w:r w:rsidRPr="007223FB">
        <w:rPr>
          <w:rFonts w:eastAsia="Candara" w:cs="Candara"/>
          <w:spacing w:val="-3"/>
        </w:rPr>
        <w:t>ó</w:t>
      </w:r>
      <w:r w:rsidRPr="007223FB">
        <w:rPr>
          <w:rFonts w:eastAsia="Candara" w:cs="Candara"/>
        </w:rPr>
        <w:t>n</w:t>
      </w:r>
      <w:r w:rsidRPr="007223FB">
        <w:rPr>
          <w:rFonts w:eastAsia="Candara" w:cs="Candara"/>
          <w:spacing w:val="4"/>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upue</w:t>
      </w:r>
      <w:r w:rsidRPr="007223FB">
        <w:rPr>
          <w:rFonts w:eastAsia="Candara" w:cs="Candara"/>
          <w:spacing w:val="-1"/>
        </w:rPr>
        <w:t>s</w:t>
      </w:r>
      <w:r w:rsidRPr="007223FB">
        <w:rPr>
          <w:rFonts w:eastAsia="Candara" w:cs="Candara"/>
        </w:rPr>
        <w:t>ta</w:t>
      </w:r>
      <w:r w:rsidRPr="007223FB">
        <w:rPr>
          <w:rFonts w:eastAsia="Candara" w:cs="Candara"/>
          <w:spacing w:val="1"/>
        </w:rPr>
        <w:t>r</w:t>
      </w:r>
      <w:r w:rsidRPr="007223FB">
        <w:rPr>
          <w:rFonts w:eastAsia="Candara" w:cs="Candara"/>
        </w:rPr>
        <w:t>ia</w:t>
      </w:r>
      <w:r w:rsidRPr="007223FB">
        <w:rPr>
          <w:rFonts w:eastAsia="Candara" w:cs="Candara"/>
          <w:spacing w:val="3"/>
        </w:rPr>
        <w:t xml:space="preserve"> </w:t>
      </w:r>
      <w:r w:rsidRPr="007223FB">
        <w:rPr>
          <w:rFonts w:eastAsia="Candara" w:cs="Candara"/>
        </w:rPr>
        <w:t>vi</w:t>
      </w:r>
      <w:r w:rsidRPr="007223FB">
        <w:rPr>
          <w:rFonts w:eastAsia="Candara" w:cs="Candara"/>
          <w:spacing w:val="1"/>
        </w:rPr>
        <w:t>g</w:t>
      </w:r>
      <w:r w:rsidRPr="007223FB">
        <w:rPr>
          <w:rFonts w:eastAsia="Candara" w:cs="Candara"/>
          <w:spacing w:val="-3"/>
        </w:rPr>
        <w:t>e</w:t>
      </w:r>
      <w:r w:rsidRPr="007223FB">
        <w:rPr>
          <w:rFonts w:eastAsia="Candara" w:cs="Candara"/>
          <w:spacing w:val="1"/>
        </w:rPr>
        <w:t>n</w:t>
      </w:r>
      <w:r w:rsidRPr="007223FB">
        <w:rPr>
          <w:rFonts w:eastAsia="Candara" w:cs="Candara"/>
        </w:rPr>
        <w:t>te</w:t>
      </w:r>
      <w:r w:rsidRPr="007223FB">
        <w:rPr>
          <w:rFonts w:eastAsia="Candara" w:cs="Candara"/>
          <w:spacing w:val="3"/>
        </w:rPr>
        <w:t xml:space="preserve"> </w:t>
      </w:r>
      <w:r w:rsidRPr="007223FB">
        <w:rPr>
          <w:rFonts w:eastAsia="Candara" w:cs="Candara"/>
          <w:spacing w:val="1"/>
        </w:rPr>
        <w:t>d</w:t>
      </w:r>
      <w:r w:rsidRPr="007223FB">
        <w:rPr>
          <w:rFonts w:eastAsia="Candara" w:cs="Candara"/>
        </w:rPr>
        <w:t>e Q 110</w:t>
      </w:r>
      <w:r w:rsidRPr="007223FB">
        <w:rPr>
          <w:rFonts w:eastAsia="Candara" w:cs="Candara"/>
          <w:spacing w:val="4"/>
        </w:rPr>
        <w:t xml:space="preserve"> </w:t>
      </w:r>
      <w:r w:rsidRPr="007223FB">
        <w:rPr>
          <w:rFonts w:eastAsia="Candara" w:cs="Candara"/>
        </w:rPr>
        <w:t>m</w:t>
      </w:r>
      <w:r w:rsidRPr="007223FB">
        <w:rPr>
          <w:rFonts w:eastAsia="Candara" w:cs="Candara"/>
          <w:spacing w:val="-2"/>
        </w:rPr>
        <w:t>i</w:t>
      </w:r>
      <w:r w:rsidRPr="007223FB">
        <w:rPr>
          <w:rFonts w:eastAsia="Candara" w:cs="Candara"/>
        </w:rPr>
        <w:t>ll</w:t>
      </w:r>
      <w:r w:rsidRPr="007223FB">
        <w:rPr>
          <w:rFonts w:eastAsia="Candara" w:cs="Candara"/>
          <w:spacing w:val="-1"/>
        </w:rPr>
        <w:t>o</w:t>
      </w:r>
      <w:r w:rsidRPr="007223FB">
        <w:rPr>
          <w:rFonts w:eastAsia="Candara" w:cs="Candara"/>
          <w:spacing w:val="1"/>
        </w:rPr>
        <w:t>n</w:t>
      </w:r>
      <w:r w:rsidRPr="007223FB">
        <w:rPr>
          <w:rFonts w:eastAsia="Candara" w:cs="Candara"/>
          <w:spacing w:val="-2"/>
        </w:rPr>
        <w:t>e</w:t>
      </w:r>
      <w:r w:rsidRPr="007223FB">
        <w:rPr>
          <w:rFonts w:eastAsia="Candara" w:cs="Candara"/>
          <w:spacing w:val="1"/>
        </w:rPr>
        <w:t>s</w:t>
      </w:r>
      <w:r w:rsidRPr="007223FB">
        <w:rPr>
          <w:rFonts w:eastAsia="Candara" w:cs="Candara"/>
        </w:rPr>
        <w:t>,  y avance financiero a la fecha de Q 9.7 millones equivalente a 8.81%.</w:t>
      </w:r>
    </w:p>
    <w:p w:rsidR="003137EE" w:rsidRPr="007223FB" w:rsidRDefault="003137EE" w:rsidP="00881D85">
      <w:pPr>
        <w:autoSpaceDE w:val="0"/>
        <w:autoSpaceDN w:val="0"/>
        <w:adjustRightInd w:val="0"/>
        <w:spacing w:before="120" w:after="120" w:line="240" w:lineRule="auto"/>
        <w:rPr>
          <w:rFonts w:eastAsia="Candara" w:cs="Candara"/>
        </w:rPr>
      </w:pPr>
      <w:r w:rsidRPr="007223FB">
        <w:rPr>
          <w:rFonts w:eastAsia="Candara" w:cs="Candara"/>
        </w:rPr>
        <w:lastRenderedPageBreak/>
        <w:t>En el producto “Intervenciones relacionadas con la emergencia “Erupción del Volcán de Fuego” presenta una ejecución física y financiera del cuatrimestre y acumulada de 98%.</w:t>
      </w:r>
    </w:p>
    <w:p w:rsidR="003137EE" w:rsidRPr="007223FB" w:rsidRDefault="003137EE" w:rsidP="00881D85">
      <w:pPr>
        <w:spacing w:before="120" w:after="120" w:line="240" w:lineRule="auto"/>
        <w:rPr>
          <w:rFonts w:eastAsia="Candara" w:cs="Candara"/>
          <w:spacing w:val="2"/>
        </w:rPr>
      </w:pPr>
      <w:r w:rsidRPr="007223FB">
        <w:rPr>
          <w:rFonts w:eastAsia="Candara" w:cs="Candara"/>
          <w:spacing w:val="1"/>
        </w:rPr>
        <w:t>En P</w:t>
      </w:r>
      <w:r w:rsidRPr="007223FB">
        <w:rPr>
          <w:rFonts w:eastAsia="Candara" w:cs="Candara"/>
          <w:spacing w:val="-2"/>
        </w:rPr>
        <w:t>a</w:t>
      </w:r>
      <w:r w:rsidRPr="007223FB">
        <w:rPr>
          <w:rFonts w:eastAsia="Candara" w:cs="Candara"/>
          <w:spacing w:val="1"/>
        </w:rPr>
        <w:t>r</w:t>
      </w:r>
      <w:r w:rsidRPr="007223FB">
        <w:rPr>
          <w:rFonts w:eastAsia="Candara" w:cs="Candara"/>
        </w:rPr>
        <w:t>ti</w:t>
      </w:r>
      <w:r w:rsidRPr="007223FB">
        <w:rPr>
          <w:rFonts w:eastAsia="Candara" w:cs="Candara"/>
          <w:spacing w:val="1"/>
        </w:rPr>
        <w:t>d</w:t>
      </w:r>
      <w:r w:rsidRPr="007223FB">
        <w:rPr>
          <w:rFonts w:eastAsia="Candara" w:cs="Candara"/>
          <w:spacing w:val="-2"/>
        </w:rPr>
        <w:t>a</w:t>
      </w:r>
      <w:r w:rsidRPr="007223FB">
        <w:rPr>
          <w:rFonts w:eastAsia="Candara" w:cs="Candara"/>
        </w:rPr>
        <w:t>s</w:t>
      </w:r>
      <w:r w:rsidRPr="007223FB">
        <w:rPr>
          <w:rFonts w:eastAsia="Candara" w:cs="Candara"/>
          <w:spacing w:val="2"/>
        </w:rPr>
        <w:t xml:space="preserve"> </w:t>
      </w:r>
      <w:r w:rsidRPr="007223FB">
        <w:rPr>
          <w:rFonts w:eastAsia="Candara" w:cs="Candara"/>
          <w:spacing w:val="1"/>
        </w:rPr>
        <w:t>n</w:t>
      </w:r>
      <w:r w:rsidRPr="007223FB">
        <w:rPr>
          <w:rFonts w:eastAsia="Candara" w:cs="Candara"/>
        </w:rPr>
        <w:t>o a</w:t>
      </w:r>
      <w:r w:rsidRPr="007223FB">
        <w:rPr>
          <w:rFonts w:eastAsia="Candara" w:cs="Candara"/>
          <w:spacing w:val="1"/>
        </w:rPr>
        <w:t>s</w:t>
      </w:r>
      <w:r w:rsidRPr="007223FB">
        <w:rPr>
          <w:rFonts w:eastAsia="Candara" w:cs="Candara"/>
          <w:spacing w:val="-2"/>
        </w:rPr>
        <w:t>i</w:t>
      </w:r>
      <w:r w:rsidRPr="007223FB">
        <w:rPr>
          <w:rFonts w:eastAsia="Candara" w:cs="Candara"/>
          <w:spacing w:val="-1"/>
        </w:rPr>
        <w:t>g</w:t>
      </w:r>
      <w:r w:rsidRPr="007223FB">
        <w:rPr>
          <w:rFonts w:eastAsia="Candara" w:cs="Candara"/>
          <w:spacing w:val="1"/>
        </w:rPr>
        <w:t>n</w:t>
      </w:r>
      <w:r w:rsidRPr="007223FB">
        <w:rPr>
          <w:rFonts w:eastAsia="Candara" w:cs="Candara"/>
        </w:rPr>
        <w:t>ables</w:t>
      </w:r>
      <w:r w:rsidRPr="007223FB">
        <w:rPr>
          <w:rFonts w:eastAsia="Candara" w:cs="Candara"/>
          <w:spacing w:val="2"/>
        </w:rPr>
        <w:t xml:space="preserve"> </w:t>
      </w:r>
      <w:r w:rsidRPr="007223FB">
        <w:rPr>
          <w:rFonts w:eastAsia="Candara" w:cs="Candara"/>
        </w:rPr>
        <w:t>a</w:t>
      </w:r>
      <w:r w:rsidRPr="007223FB">
        <w:rPr>
          <w:rFonts w:eastAsia="Candara" w:cs="Candara"/>
          <w:spacing w:val="1"/>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o</w:t>
      </w:r>
      <w:r w:rsidRPr="007223FB">
        <w:rPr>
          <w:rFonts w:eastAsia="Candara" w:cs="Candara"/>
          <w:spacing w:val="1"/>
        </w:rPr>
        <w:t>gr</w:t>
      </w:r>
      <w:r w:rsidRPr="007223FB">
        <w:rPr>
          <w:rFonts w:eastAsia="Candara" w:cs="Candara"/>
        </w:rPr>
        <w:t>am</w:t>
      </w:r>
      <w:r w:rsidRPr="007223FB">
        <w:rPr>
          <w:rFonts w:eastAsia="Candara" w:cs="Candara"/>
          <w:spacing w:val="-2"/>
        </w:rPr>
        <w:t>a</w:t>
      </w:r>
      <w:r w:rsidRPr="007223FB">
        <w:rPr>
          <w:rFonts w:eastAsia="Candara" w:cs="Candara"/>
        </w:rPr>
        <w:t>s</w:t>
      </w:r>
      <w:r w:rsidRPr="007223FB">
        <w:rPr>
          <w:rFonts w:eastAsia="Candara" w:cs="Candara"/>
          <w:spacing w:val="2"/>
        </w:rPr>
        <w:t xml:space="preserve"> </w:t>
      </w:r>
      <w:r w:rsidRPr="007223FB">
        <w:rPr>
          <w:rFonts w:eastAsia="Candara" w:cs="Candara"/>
          <w:spacing w:val="1"/>
        </w:rPr>
        <w:t>c</w:t>
      </w:r>
      <w:r w:rsidRPr="007223FB">
        <w:rPr>
          <w:rFonts w:eastAsia="Candara" w:cs="Candara"/>
        </w:rPr>
        <w:t>ue</w:t>
      </w:r>
      <w:r w:rsidRPr="007223FB">
        <w:rPr>
          <w:rFonts w:eastAsia="Candara" w:cs="Candara"/>
          <w:spacing w:val="1"/>
        </w:rPr>
        <w:t>n</w:t>
      </w:r>
      <w:r w:rsidRPr="007223FB">
        <w:rPr>
          <w:rFonts w:eastAsia="Candara" w:cs="Candara"/>
          <w:spacing w:val="-2"/>
        </w:rPr>
        <w:t>t</w:t>
      </w:r>
      <w:r w:rsidRPr="007223FB">
        <w:rPr>
          <w:rFonts w:eastAsia="Candara" w:cs="Candara"/>
        </w:rPr>
        <w:t>a</w:t>
      </w:r>
      <w:r w:rsidRPr="007223FB">
        <w:rPr>
          <w:rFonts w:eastAsia="Candara" w:cs="Candara"/>
          <w:spacing w:val="1"/>
        </w:rPr>
        <w:t xml:space="preserve"> c</w:t>
      </w:r>
      <w:r w:rsidRPr="007223FB">
        <w:rPr>
          <w:rFonts w:eastAsia="Candara" w:cs="Candara"/>
          <w:spacing w:val="-3"/>
        </w:rPr>
        <w:t>o</w:t>
      </w:r>
      <w:r w:rsidRPr="007223FB">
        <w:rPr>
          <w:rFonts w:eastAsia="Candara" w:cs="Candara"/>
        </w:rPr>
        <w:t>n</w:t>
      </w:r>
      <w:r w:rsidRPr="007223FB">
        <w:rPr>
          <w:rFonts w:eastAsia="Candara" w:cs="Candara"/>
          <w:spacing w:val="2"/>
        </w:rPr>
        <w:t xml:space="preserve"> </w:t>
      </w:r>
      <w:r w:rsidRPr="007223FB">
        <w:rPr>
          <w:rFonts w:eastAsia="Candara" w:cs="Candara"/>
        </w:rPr>
        <w:t>un</w:t>
      </w:r>
      <w:r w:rsidRPr="007223FB">
        <w:rPr>
          <w:rFonts w:eastAsia="Candara" w:cs="Candara"/>
          <w:spacing w:val="2"/>
        </w:rPr>
        <w:t xml:space="preserve"> </w:t>
      </w:r>
      <w:r w:rsidRPr="007223FB">
        <w:rPr>
          <w:rFonts w:eastAsia="Candara" w:cs="Candara"/>
        </w:rPr>
        <w:t>p</w:t>
      </w:r>
      <w:r w:rsidRPr="007223FB">
        <w:rPr>
          <w:rFonts w:eastAsia="Candara" w:cs="Candara"/>
          <w:spacing w:val="1"/>
        </w:rPr>
        <w:t>r</w:t>
      </w:r>
      <w:r w:rsidRPr="007223FB">
        <w:rPr>
          <w:rFonts w:eastAsia="Candara" w:cs="Candara"/>
          <w:spacing w:val="-3"/>
        </w:rPr>
        <w:t>e</w:t>
      </w:r>
      <w:r w:rsidRPr="007223FB">
        <w:rPr>
          <w:rFonts w:eastAsia="Candara" w:cs="Candara"/>
          <w:spacing w:val="1"/>
        </w:rPr>
        <w:t>s</w:t>
      </w:r>
      <w:r w:rsidRPr="007223FB">
        <w:rPr>
          <w:rFonts w:eastAsia="Candara" w:cs="Candara"/>
        </w:rPr>
        <w:t>upue</w:t>
      </w:r>
      <w:r w:rsidRPr="007223FB">
        <w:rPr>
          <w:rFonts w:eastAsia="Candara" w:cs="Candara"/>
          <w:spacing w:val="1"/>
        </w:rPr>
        <w:t>s</w:t>
      </w:r>
      <w:r w:rsidRPr="007223FB">
        <w:rPr>
          <w:rFonts w:eastAsia="Candara" w:cs="Candara"/>
        </w:rPr>
        <w:t>to vi</w:t>
      </w:r>
      <w:r w:rsidRPr="007223FB">
        <w:rPr>
          <w:rFonts w:eastAsia="Candara" w:cs="Candara"/>
          <w:spacing w:val="-1"/>
        </w:rPr>
        <w:t>g</w:t>
      </w:r>
      <w:r w:rsidRPr="007223FB">
        <w:rPr>
          <w:rFonts w:eastAsia="Candara" w:cs="Candara"/>
        </w:rPr>
        <w:t>e</w:t>
      </w:r>
      <w:r w:rsidRPr="007223FB">
        <w:rPr>
          <w:rFonts w:eastAsia="Candara" w:cs="Candara"/>
          <w:spacing w:val="1"/>
        </w:rPr>
        <w:t>n</w:t>
      </w:r>
      <w:r w:rsidRPr="007223FB">
        <w:rPr>
          <w:rFonts w:eastAsia="Candara" w:cs="Candara"/>
        </w:rPr>
        <w:t>te</w:t>
      </w:r>
      <w:r w:rsidRPr="007223FB">
        <w:rPr>
          <w:rFonts w:eastAsia="Candara" w:cs="Candara"/>
          <w:spacing w:val="1"/>
        </w:rPr>
        <w:t xml:space="preserve"> d</w:t>
      </w:r>
      <w:r w:rsidRPr="007223FB">
        <w:rPr>
          <w:rFonts w:eastAsia="Candara" w:cs="Candara"/>
        </w:rPr>
        <w:t>e</w:t>
      </w:r>
      <w:r w:rsidRPr="007223FB">
        <w:rPr>
          <w:rFonts w:eastAsia="Candara" w:cs="Candara"/>
          <w:spacing w:val="1"/>
        </w:rPr>
        <w:t xml:space="preserve"> </w:t>
      </w:r>
      <w:r w:rsidRPr="007223FB">
        <w:rPr>
          <w:rFonts w:eastAsia="Candara" w:cs="Candara"/>
        </w:rPr>
        <w:t>Q</w:t>
      </w:r>
      <w:r w:rsidRPr="007223FB">
        <w:rPr>
          <w:rFonts w:eastAsia="Candara" w:cs="Candara"/>
          <w:spacing w:val="2"/>
        </w:rPr>
        <w:t xml:space="preserve"> 25 millones y presenta ejecución financiera para el cuatrimestre y acumulada en el producto “Transferencia para transporte del adulto mayor” de Q 25 millones, presenta como meta física documento que corresponde al convenio firmado con la Coordinadora Nacional del Transporte Urbano Departamental de Guatemala. </w:t>
      </w:r>
      <w:r w:rsidR="002757B1" w:rsidRPr="007223FB">
        <w:rPr>
          <w:rFonts w:eastAsia="Candara" w:cs="Candara"/>
          <w:spacing w:val="2"/>
        </w:rPr>
        <w:t xml:space="preserve"> </w:t>
      </w:r>
      <w:r w:rsidRPr="007223FB">
        <w:rPr>
          <w:rFonts w:eastAsia="Candara" w:cs="Candara"/>
          <w:spacing w:val="2"/>
        </w:rPr>
        <w:t xml:space="preserve">Así mismo presenta una asignación de Q 200,000  para cuotas a organismos, con un total aproximado en el programa de 99.9%.  </w:t>
      </w:r>
    </w:p>
    <w:p w:rsidR="003137EE" w:rsidRPr="00765ACE" w:rsidRDefault="003137EE" w:rsidP="00765ACE">
      <w:pPr>
        <w:pStyle w:val="Ttulo5"/>
        <w:numPr>
          <w:ilvl w:val="0"/>
          <w:numId w:val="0"/>
        </w:numPr>
        <w:ind w:left="1008"/>
        <w:rPr>
          <w:rFonts w:ascii="Candara" w:hAnsi="Candara"/>
          <w:b/>
          <w:color w:val="auto"/>
          <w:sz w:val="18"/>
        </w:rPr>
      </w:pPr>
      <w:bookmarkStart w:id="105" w:name="_Toc19527394"/>
      <w:r w:rsidRPr="00765ACE">
        <w:rPr>
          <w:rFonts w:ascii="Candara" w:hAnsi="Candara"/>
          <w:b/>
          <w:color w:val="auto"/>
          <w:sz w:val="18"/>
        </w:rPr>
        <w:t xml:space="preserve">Gráfica </w:t>
      </w:r>
      <w:r w:rsidR="00D4642F">
        <w:rPr>
          <w:rFonts w:ascii="Candara" w:hAnsi="Candara"/>
          <w:b/>
          <w:color w:val="auto"/>
          <w:sz w:val="18"/>
        </w:rPr>
        <w:t>11</w:t>
      </w:r>
      <w:r w:rsidRPr="00765ACE">
        <w:rPr>
          <w:rFonts w:ascii="Candara" w:hAnsi="Candara"/>
          <w:b/>
          <w:color w:val="auto"/>
          <w:sz w:val="18"/>
        </w:rPr>
        <w:br/>
        <w:t>Ejecución presupuestaria</w:t>
      </w:r>
      <w:r w:rsidR="00D4642F">
        <w:rPr>
          <w:rFonts w:ascii="Candara" w:hAnsi="Candara"/>
          <w:b/>
          <w:color w:val="auto"/>
          <w:sz w:val="18"/>
        </w:rPr>
        <w:br/>
      </w:r>
      <w:r w:rsidRPr="00765ACE">
        <w:rPr>
          <w:rFonts w:ascii="Candara" w:hAnsi="Candara"/>
          <w:b/>
          <w:color w:val="auto"/>
          <w:sz w:val="18"/>
        </w:rPr>
        <w:t>Ministerio de Desarrollo Social</w:t>
      </w:r>
      <w:r w:rsidR="00D4642F">
        <w:rPr>
          <w:rFonts w:ascii="Candara" w:hAnsi="Candara"/>
          <w:b/>
          <w:color w:val="auto"/>
          <w:sz w:val="18"/>
        </w:rPr>
        <w:br/>
      </w:r>
      <w:r w:rsidRPr="00765ACE">
        <w:rPr>
          <w:rFonts w:ascii="Candara" w:hAnsi="Candara"/>
          <w:b/>
          <w:color w:val="auto"/>
          <w:sz w:val="18"/>
        </w:rPr>
        <w:t>Ejercicio Fiscal 2do Cuatrimestre 2019</w:t>
      </w:r>
      <w:r w:rsidR="00D4642F">
        <w:rPr>
          <w:rFonts w:ascii="Candara" w:hAnsi="Candara"/>
          <w:b/>
          <w:color w:val="auto"/>
          <w:sz w:val="18"/>
        </w:rPr>
        <w:br/>
      </w:r>
      <w:r w:rsidRPr="00765ACE">
        <w:rPr>
          <w:rFonts w:ascii="Candara" w:hAnsi="Candara"/>
          <w:b/>
          <w:color w:val="auto"/>
          <w:sz w:val="18"/>
        </w:rPr>
        <w:t>En millones de Q</w:t>
      </w:r>
      <w:bookmarkEnd w:id="105"/>
    </w:p>
    <w:p w:rsidR="003137EE" w:rsidRPr="007223FB" w:rsidRDefault="003137EE" w:rsidP="003137EE">
      <w:pPr>
        <w:spacing w:line="240" w:lineRule="auto"/>
        <w:ind w:left="1134"/>
        <w:rPr>
          <w:rFonts w:eastAsia="Candara" w:cs="Candara"/>
        </w:rPr>
      </w:pPr>
      <w:r w:rsidRPr="007223FB">
        <w:rPr>
          <w:noProof/>
          <w:lang w:eastAsia="es-GT"/>
        </w:rPr>
        <w:drawing>
          <wp:inline distT="0" distB="0" distL="0" distR="0" wp14:anchorId="5C2CE4BE" wp14:editId="415045CF">
            <wp:extent cx="4381500" cy="25050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37EE" w:rsidRPr="007223FB" w:rsidRDefault="004A5DEC" w:rsidP="003137EE">
      <w:pPr>
        <w:spacing w:line="240" w:lineRule="auto"/>
        <w:ind w:left="1134"/>
        <w:rPr>
          <w:rFonts w:eastAsia="Candara" w:cs="Candara"/>
        </w:rPr>
      </w:pPr>
      <w:r w:rsidRPr="00C967AB">
        <w:rPr>
          <w:sz w:val="18"/>
        </w:rPr>
        <w:t>Fuente: Elaboración SEGEPLAN con base en datos de SIPLAN y SICOIN</w:t>
      </w:r>
      <w:r w:rsidR="003137EE" w:rsidRPr="00C967AB">
        <w:rPr>
          <w:sz w:val="18"/>
        </w:rPr>
        <w:t xml:space="preserve"> de fecha 05/09/2019</w:t>
      </w:r>
      <w:r w:rsidR="003137EE" w:rsidRPr="007223FB">
        <w:t>.</w:t>
      </w:r>
    </w:p>
    <w:p w:rsidR="00541A2D" w:rsidRPr="007223FB" w:rsidRDefault="007D6926" w:rsidP="000B07D9">
      <w:pPr>
        <w:pStyle w:val="Prrafodelista"/>
        <w:numPr>
          <w:ilvl w:val="0"/>
          <w:numId w:val="5"/>
        </w:numPr>
        <w:spacing w:before="120" w:after="120" w:line="240" w:lineRule="auto"/>
        <w:contextualSpacing w:val="0"/>
        <w:rPr>
          <w:rFonts w:cs="Arial"/>
        </w:rPr>
      </w:pPr>
      <w:r w:rsidRPr="007223FB">
        <w:rPr>
          <w:rFonts w:cs="Candara,Bold"/>
          <w:b/>
          <w:bCs/>
        </w:rPr>
        <w:t>Ministerio de Trabajo –MINTRAB-</w:t>
      </w:r>
    </w:p>
    <w:p w:rsidR="00541A2D" w:rsidRPr="007223FB" w:rsidRDefault="00541A2D" w:rsidP="00881D85">
      <w:pPr>
        <w:spacing w:before="120" w:after="120" w:line="240" w:lineRule="auto"/>
        <w:rPr>
          <w:rFonts w:cs="Arial"/>
        </w:rPr>
      </w:pPr>
      <w:r w:rsidRPr="007223FB">
        <w:rPr>
          <w:rFonts w:cs="Arial"/>
        </w:rPr>
        <w:t>El Ministerio de Trabajo y Previsión Social (MINTRAB), es la entidad responsable de hacer cumplir el régimen jurídico relativo al trabajo, cumplimiento de la legislación laboral, la construcción e implementación de políticas y programas vinculados al trabajo y previsión social, procesos de formación técnica y profesional y la previsión social a favor de la población trabajadora y grupos vulnerables. Desempeña un papel fundamental dentro del crecimiento y desarrollo del país, por ser garante de las condiciones que viabilicen un escenario laboral, incluyente, productivo y remunerado equitativamente, aportar al desarrollo sostenible y contribuir al alcance de prioridades del gobierno.</w:t>
      </w:r>
    </w:p>
    <w:p w:rsidR="00541A2D" w:rsidRPr="007223FB" w:rsidRDefault="00541A2D" w:rsidP="00881D85">
      <w:pPr>
        <w:spacing w:before="120" w:after="120" w:line="240" w:lineRule="auto"/>
        <w:rPr>
          <w:rFonts w:eastAsia="Times New Roman" w:cs="Arial"/>
          <w:lang w:eastAsia="es-GT"/>
        </w:rPr>
      </w:pPr>
      <w:r w:rsidRPr="007223FB">
        <w:rPr>
          <w:rFonts w:cs="Arial"/>
        </w:rPr>
        <w:t>El Ministerio de Trabajo se vincula a la Política General de Gobierno (PGG) 2016-2020, en el eje de desarrollo, prioridad sobre el Fomento de Turismo, especialmente a las metas relacionadas a la informalidad, desempleo, subempleo, población ocupada viviendo en pobreza extrema y, mujeres en el empleo remunerado no agrícola. Actualmente no posee resultados institucionales desde el enfoque de Gestión por Resultados, sin embargo, ilustran los siguientes programas</w:t>
      </w:r>
      <w:r w:rsidRPr="007223FB">
        <w:t>: 1) Atención al Adulto Mayor; 2) Gestión de Asuntos Laborales;</w:t>
      </w:r>
      <w:r w:rsidRPr="007223FB">
        <w:rPr>
          <w:rFonts w:eastAsia="Times New Roman" w:cs="Arial"/>
          <w:lang w:eastAsia="es-GT"/>
        </w:rPr>
        <w:t xml:space="preserve"> 3) Promoción de la Formalidad del Empleo y; 4) Recreación de los Trabajadores del Estado</w:t>
      </w:r>
    </w:p>
    <w:p w:rsidR="00D4642F" w:rsidRDefault="00D4642F">
      <w:pPr>
        <w:jc w:val="left"/>
        <w:rPr>
          <w:rFonts w:eastAsiaTheme="majorEastAsia" w:cstheme="majorBidi"/>
          <w:b/>
          <w:caps/>
          <w:spacing w:val="10"/>
          <w:sz w:val="18"/>
          <w:lang w:eastAsia="es-GT"/>
        </w:rPr>
      </w:pPr>
      <w:bookmarkStart w:id="106" w:name="_Toc19524703"/>
      <w:r>
        <w:rPr>
          <w:b/>
          <w:sz w:val="18"/>
        </w:rPr>
        <w:lastRenderedPageBreak/>
        <w:br w:type="page"/>
      </w:r>
    </w:p>
    <w:p w:rsidR="00541A2D" w:rsidRPr="00A17383" w:rsidRDefault="00541A2D" w:rsidP="00A17383">
      <w:pPr>
        <w:pStyle w:val="Ttulo4"/>
        <w:numPr>
          <w:ilvl w:val="0"/>
          <w:numId w:val="0"/>
        </w:numPr>
        <w:ind w:left="864"/>
        <w:rPr>
          <w:rFonts w:ascii="Candara" w:hAnsi="Candara"/>
          <w:b/>
          <w:color w:val="auto"/>
          <w:sz w:val="18"/>
        </w:rPr>
      </w:pPr>
      <w:r w:rsidRPr="00A17383">
        <w:rPr>
          <w:rFonts w:ascii="Candara" w:hAnsi="Candara"/>
          <w:b/>
          <w:color w:val="auto"/>
          <w:sz w:val="18"/>
        </w:rPr>
        <w:lastRenderedPageBreak/>
        <w:t xml:space="preserve">Cuadro </w:t>
      </w:r>
      <w:r w:rsidR="009B30CD">
        <w:rPr>
          <w:rFonts w:ascii="Candara" w:hAnsi="Candara"/>
          <w:b/>
          <w:color w:val="auto"/>
          <w:sz w:val="18"/>
        </w:rPr>
        <w:t>17</w:t>
      </w:r>
      <w:r w:rsidR="009B30CD">
        <w:rPr>
          <w:rFonts w:ascii="Candara" w:hAnsi="Candara"/>
          <w:b/>
          <w:color w:val="auto"/>
          <w:sz w:val="18"/>
        </w:rPr>
        <w:br/>
      </w:r>
      <w:r w:rsidRPr="00A17383">
        <w:rPr>
          <w:rFonts w:ascii="Candara" w:hAnsi="Candara"/>
          <w:b/>
          <w:color w:val="auto"/>
          <w:sz w:val="18"/>
        </w:rPr>
        <w:t>Programas y Productos del Ministerio de Trabajo y Previsión Social</w:t>
      </w:r>
      <w:r w:rsidR="009B30CD">
        <w:rPr>
          <w:rFonts w:ascii="Candara" w:hAnsi="Candara"/>
          <w:b/>
          <w:color w:val="auto"/>
          <w:sz w:val="18"/>
        </w:rPr>
        <w:br/>
      </w:r>
      <w:r w:rsidRPr="00A17383">
        <w:rPr>
          <w:rFonts w:ascii="Candara" w:hAnsi="Candara"/>
          <w:b/>
          <w:color w:val="auto"/>
          <w:sz w:val="18"/>
        </w:rPr>
        <w:t>Mayo - agosto 2019</w:t>
      </w:r>
      <w:bookmarkEnd w:id="106"/>
    </w:p>
    <w:tbl>
      <w:tblPr>
        <w:tblStyle w:val="Tabladecuadrcula5oscura-nfasis113"/>
        <w:tblW w:w="5000" w:type="pct"/>
        <w:tblLook w:val="04A0" w:firstRow="1" w:lastRow="0" w:firstColumn="1" w:lastColumn="0" w:noHBand="0" w:noVBand="1"/>
      </w:tblPr>
      <w:tblGrid>
        <w:gridCol w:w="1594"/>
        <w:gridCol w:w="2320"/>
        <w:gridCol w:w="1086"/>
        <w:gridCol w:w="1032"/>
        <w:gridCol w:w="941"/>
        <w:gridCol w:w="1203"/>
        <w:gridCol w:w="1254"/>
      </w:tblGrid>
      <w:tr w:rsidR="00541A2D" w:rsidRPr="00881D85" w:rsidTr="00881D85">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845" w:type="pct"/>
            <w:vMerge w:val="restart"/>
            <w:hideMark/>
          </w:tcPr>
          <w:p w:rsidR="00541A2D" w:rsidRPr="00881D85" w:rsidRDefault="00541A2D" w:rsidP="006E0030">
            <w:pPr>
              <w:jc w:val="center"/>
              <w:rPr>
                <w:rFonts w:eastAsia="Times New Roman" w:cs="Times New Roman"/>
                <w:sz w:val="18"/>
                <w:szCs w:val="22"/>
                <w:lang w:eastAsia="es-GT"/>
              </w:rPr>
            </w:pPr>
            <w:r w:rsidRPr="00881D85">
              <w:rPr>
                <w:rFonts w:eastAsia="Times New Roman" w:cs="Times New Roman"/>
                <w:sz w:val="18"/>
                <w:szCs w:val="22"/>
                <w:lang w:eastAsia="es-GT"/>
              </w:rPr>
              <w:t>Resultados Institucionales</w:t>
            </w:r>
          </w:p>
        </w:tc>
        <w:tc>
          <w:tcPr>
            <w:tcW w:w="1230" w:type="pct"/>
            <w:vMerge w:val="restart"/>
            <w:hideMark/>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Productos</w:t>
            </w:r>
          </w:p>
        </w:tc>
        <w:tc>
          <w:tcPr>
            <w:tcW w:w="2925" w:type="pct"/>
            <w:gridSpan w:val="5"/>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Avance físico cuatrimestral y acumulado</w:t>
            </w:r>
          </w:p>
        </w:tc>
      </w:tr>
      <w:tr w:rsidR="00541A2D" w:rsidRPr="00881D85" w:rsidTr="00881D85">
        <w:trPr>
          <w:cnfStyle w:val="100000000000" w:firstRow="1" w:lastRow="0" w:firstColumn="0" w:lastColumn="0" w:oddVBand="0" w:evenVBand="0" w:oddHBand="0" w:evenHBand="0" w:firstRowFirstColumn="0" w:firstRowLastColumn="0" w:lastRowFirstColumn="0" w:lastRowLastColumn="0"/>
          <w:trHeight w:val="507"/>
          <w:tblHeader/>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color w:val="auto"/>
                <w:sz w:val="18"/>
                <w:szCs w:val="22"/>
                <w:lang w:eastAsia="es-GT"/>
              </w:rPr>
            </w:pPr>
          </w:p>
        </w:tc>
        <w:tc>
          <w:tcPr>
            <w:tcW w:w="1230" w:type="pct"/>
            <w:vMerge/>
            <w:hideMark/>
          </w:tcPr>
          <w:p w:rsidR="00541A2D" w:rsidRPr="00881D85" w:rsidRDefault="00541A2D" w:rsidP="006E0030">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18"/>
                <w:szCs w:val="22"/>
                <w:lang w:eastAsia="es-GT"/>
              </w:rPr>
            </w:pPr>
          </w:p>
        </w:tc>
        <w:tc>
          <w:tcPr>
            <w:tcW w:w="576" w:type="pct"/>
            <w:shd w:val="clear" w:color="auto" w:fill="BDD6EE"/>
            <w:hideMark/>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Inicial</w:t>
            </w:r>
          </w:p>
        </w:tc>
        <w:tc>
          <w:tcPr>
            <w:tcW w:w="547" w:type="pct"/>
            <w:shd w:val="clear" w:color="auto" w:fill="BDD6EE"/>
            <w:hideMark/>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Vigente</w:t>
            </w:r>
          </w:p>
        </w:tc>
        <w:tc>
          <w:tcPr>
            <w:tcW w:w="499" w:type="pct"/>
            <w:shd w:val="clear" w:color="auto" w:fill="BDD6EE"/>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Avance</w:t>
            </w:r>
          </w:p>
        </w:tc>
        <w:tc>
          <w:tcPr>
            <w:tcW w:w="638" w:type="pct"/>
            <w:shd w:val="clear" w:color="auto" w:fill="BDD6EE"/>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sz w:val="18"/>
                <w:szCs w:val="22"/>
              </w:rPr>
            </w:pPr>
            <w:r w:rsidRPr="00881D85">
              <w:rPr>
                <w:sz w:val="18"/>
                <w:szCs w:val="22"/>
              </w:rPr>
              <w:t>Porcentaje de avance</w:t>
            </w:r>
          </w:p>
        </w:tc>
        <w:tc>
          <w:tcPr>
            <w:tcW w:w="665" w:type="pct"/>
            <w:shd w:val="clear" w:color="auto" w:fill="BDD6EE"/>
            <w:hideMark/>
          </w:tcPr>
          <w:p w:rsidR="00541A2D" w:rsidRPr="00881D85" w:rsidRDefault="00541A2D" w:rsidP="006E003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Acumulado</w:t>
            </w:r>
          </w:p>
        </w:tc>
      </w:tr>
      <w:tr w:rsidR="00541A2D" w:rsidRPr="00881D85" w:rsidTr="00D96C3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45" w:type="pct"/>
            <w:vMerge w:val="restart"/>
            <w:hideMark/>
          </w:tcPr>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p>
          <w:p w:rsidR="00541A2D" w:rsidRPr="00881D85" w:rsidRDefault="00541A2D" w:rsidP="006E0030">
            <w:pPr>
              <w:jc w:val="left"/>
              <w:rPr>
                <w:rFonts w:eastAsia="Times New Roman" w:cs="Times New Roman"/>
                <w:sz w:val="18"/>
                <w:szCs w:val="22"/>
                <w:lang w:eastAsia="es-GT"/>
              </w:rPr>
            </w:pPr>
            <w:r w:rsidRPr="00881D85">
              <w:rPr>
                <w:rFonts w:eastAsia="Times New Roman" w:cs="Times New Roman"/>
                <w:sz w:val="18"/>
                <w:szCs w:val="22"/>
                <w:lang w:eastAsia="es-GT"/>
              </w:rPr>
              <w:t>Gestión de asuntos laborales</w:t>
            </w:r>
          </w:p>
        </w:tc>
        <w:tc>
          <w:tcPr>
            <w:tcW w:w="1230" w:type="pct"/>
            <w:hideMark/>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Registro y control de relaciones laborales y organizaciones sindicales a empleadores y trabajadores</w:t>
            </w:r>
          </w:p>
        </w:tc>
        <w:tc>
          <w:tcPr>
            <w:tcW w:w="576"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261,600</w:t>
            </w:r>
          </w:p>
        </w:tc>
        <w:tc>
          <w:tcPr>
            <w:tcW w:w="547"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261,520</w:t>
            </w:r>
          </w:p>
        </w:tc>
        <w:tc>
          <w:tcPr>
            <w:tcW w:w="499"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97,383</w:t>
            </w:r>
          </w:p>
        </w:tc>
        <w:tc>
          <w:tcPr>
            <w:tcW w:w="638"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37.24%</w:t>
            </w:r>
          </w:p>
        </w:tc>
        <w:tc>
          <w:tcPr>
            <w:tcW w:w="665"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70.49%</w:t>
            </w:r>
          </w:p>
        </w:tc>
      </w:tr>
      <w:tr w:rsidR="00541A2D" w:rsidRPr="00881D85" w:rsidTr="00D96C32">
        <w:trPr>
          <w:trHeight w:val="507"/>
        </w:trPr>
        <w:tc>
          <w:tcPr>
            <w:cnfStyle w:val="001000000000" w:firstRow="0" w:lastRow="0" w:firstColumn="1" w:lastColumn="0" w:oddVBand="0" w:evenVBand="0" w:oddHBand="0" w:evenHBand="0" w:firstRowFirstColumn="0" w:firstRowLastColumn="0" w:lastRowFirstColumn="0" w:lastRowLastColumn="0"/>
            <w:tcW w:w="845" w:type="pct"/>
            <w:vMerge/>
          </w:tcPr>
          <w:p w:rsidR="00541A2D" w:rsidRPr="00881D85" w:rsidRDefault="00541A2D" w:rsidP="006E0030">
            <w:pPr>
              <w:jc w:val="left"/>
              <w:rPr>
                <w:rFonts w:eastAsia="Times New Roman" w:cs="Times New Roman"/>
                <w:sz w:val="18"/>
                <w:szCs w:val="22"/>
                <w:lang w:eastAsia="es-GT"/>
              </w:rPr>
            </w:pPr>
          </w:p>
        </w:tc>
        <w:tc>
          <w:tcPr>
            <w:tcW w:w="1230" w:type="pct"/>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Trabajadores y empleadores capacitados y asesorados en derechos</w:t>
            </w:r>
          </w:p>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y obligaciones laborales</w:t>
            </w:r>
          </w:p>
        </w:tc>
        <w:tc>
          <w:tcPr>
            <w:tcW w:w="576"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500</w:t>
            </w:r>
          </w:p>
        </w:tc>
        <w:tc>
          <w:tcPr>
            <w:tcW w:w="547"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4,000</w:t>
            </w:r>
          </w:p>
        </w:tc>
        <w:tc>
          <w:tcPr>
            <w:tcW w:w="499"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1,613</w:t>
            </w:r>
          </w:p>
        </w:tc>
        <w:tc>
          <w:tcPr>
            <w:tcW w:w="638"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40.33%</w:t>
            </w:r>
          </w:p>
        </w:tc>
        <w:tc>
          <w:tcPr>
            <w:tcW w:w="665"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79.50%</w:t>
            </w:r>
          </w:p>
        </w:tc>
      </w:tr>
      <w:tr w:rsidR="00541A2D" w:rsidRPr="00881D85" w:rsidTr="00D4642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sz w:val="18"/>
                <w:szCs w:val="22"/>
                <w:lang w:eastAsia="es-GT"/>
              </w:rPr>
            </w:pPr>
          </w:p>
        </w:tc>
        <w:tc>
          <w:tcPr>
            <w:tcW w:w="1230" w:type="pct"/>
            <w:hideMark/>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Trabajadores guatemaltecos informados sobre sus derechos</w:t>
            </w:r>
          </w:p>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laborales en el exterior</w:t>
            </w:r>
          </w:p>
        </w:tc>
        <w:tc>
          <w:tcPr>
            <w:tcW w:w="576"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16,000</w:t>
            </w:r>
          </w:p>
        </w:tc>
        <w:tc>
          <w:tcPr>
            <w:tcW w:w="547"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14,500</w:t>
            </w:r>
          </w:p>
        </w:tc>
        <w:tc>
          <w:tcPr>
            <w:tcW w:w="499"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7,149</w:t>
            </w:r>
          </w:p>
        </w:tc>
        <w:tc>
          <w:tcPr>
            <w:tcW w:w="638"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49.30%</w:t>
            </w:r>
          </w:p>
        </w:tc>
        <w:tc>
          <w:tcPr>
            <w:tcW w:w="665"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80.82%</w:t>
            </w:r>
          </w:p>
        </w:tc>
      </w:tr>
      <w:tr w:rsidR="00541A2D" w:rsidRPr="00881D85" w:rsidTr="00D96C32">
        <w:trPr>
          <w:trHeight w:val="507"/>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sz w:val="18"/>
                <w:szCs w:val="22"/>
                <w:lang w:eastAsia="es-GT"/>
              </w:rPr>
            </w:pPr>
          </w:p>
        </w:tc>
        <w:tc>
          <w:tcPr>
            <w:tcW w:w="1230" w:type="pct"/>
            <w:hideMark/>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Personas extranjeras autorizadas para laborar en Guatemala</w:t>
            </w:r>
          </w:p>
        </w:tc>
        <w:tc>
          <w:tcPr>
            <w:tcW w:w="576"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2,500</w:t>
            </w:r>
          </w:p>
        </w:tc>
        <w:tc>
          <w:tcPr>
            <w:tcW w:w="547"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2,500</w:t>
            </w:r>
          </w:p>
        </w:tc>
        <w:tc>
          <w:tcPr>
            <w:tcW w:w="499"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842</w:t>
            </w:r>
          </w:p>
        </w:tc>
        <w:tc>
          <w:tcPr>
            <w:tcW w:w="638"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33.68%</w:t>
            </w:r>
          </w:p>
        </w:tc>
        <w:tc>
          <w:tcPr>
            <w:tcW w:w="665"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56.32%</w:t>
            </w:r>
          </w:p>
        </w:tc>
      </w:tr>
      <w:tr w:rsidR="00541A2D" w:rsidRPr="00881D85" w:rsidTr="00D96C32">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sz w:val="18"/>
                <w:szCs w:val="22"/>
                <w:lang w:eastAsia="es-GT"/>
              </w:rPr>
            </w:pPr>
          </w:p>
        </w:tc>
        <w:tc>
          <w:tcPr>
            <w:tcW w:w="1230" w:type="pct"/>
            <w:hideMark/>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Comités bipartitos de trabajadores y empleadores atendidos con servicios de asesoría en salud y seguridad ocupacional</w:t>
            </w:r>
          </w:p>
        </w:tc>
        <w:tc>
          <w:tcPr>
            <w:tcW w:w="576"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650</w:t>
            </w:r>
          </w:p>
        </w:tc>
        <w:tc>
          <w:tcPr>
            <w:tcW w:w="547"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1200</w:t>
            </w:r>
          </w:p>
        </w:tc>
        <w:tc>
          <w:tcPr>
            <w:tcW w:w="499"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500</w:t>
            </w:r>
          </w:p>
        </w:tc>
        <w:tc>
          <w:tcPr>
            <w:tcW w:w="638"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41.67%</w:t>
            </w:r>
          </w:p>
        </w:tc>
        <w:tc>
          <w:tcPr>
            <w:tcW w:w="665"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70.83%</w:t>
            </w:r>
          </w:p>
        </w:tc>
      </w:tr>
      <w:tr w:rsidR="00541A2D" w:rsidRPr="00881D85" w:rsidTr="00D96C32">
        <w:trPr>
          <w:trHeight w:val="507"/>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sz w:val="18"/>
                <w:szCs w:val="22"/>
                <w:lang w:eastAsia="es-GT"/>
              </w:rPr>
            </w:pPr>
          </w:p>
        </w:tc>
        <w:tc>
          <w:tcPr>
            <w:tcW w:w="1230" w:type="pct"/>
            <w:hideMark/>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Población sensibilizada y capacitada sobre derechos laborales de grupos vulnerables</w:t>
            </w:r>
          </w:p>
        </w:tc>
        <w:tc>
          <w:tcPr>
            <w:tcW w:w="576"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22,000</w:t>
            </w:r>
          </w:p>
        </w:tc>
        <w:tc>
          <w:tcPr>
            <w:tcW w:w="547"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21,551</w:t>
            </w:r>
          </w:p>
        </w:tc>
        <w:tc>
          <w:tcPr>
            <w:tcW w:w="499"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10,972</w:t>
            </w:r>
          </w:p>
        </w:tc>
        <w:tc>
          <w:tcPr>
            <w:tcW w:w="638"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50.91%</w:t>
            </w:r>
          </w:p>
        </w:tc>
        <w:tc>
          <w:tcPr>
            <w:tcW w:w="665"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76.18%</w:t>
            </w:r>
          </w:p>
        </w:tc>
      </w:tr>
      <w:tr w:rsidR="00541A2D" w:rsidRPr="00881D85" w:rsidTr="00D96C32">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845" w:type="pct"/>
            <w:vMerge/>
            <w:hideMark/>
          </w:tcPr>
          <w:p w:rsidR="00541A2D" w:rsidRPr="00881D85" w:rsidRDefault="00541A2D" w:rsidP="006E0030">
            <w:pPr>
              <w:jc w:val="left"/>
              <w:rPr>
                <w:rFonts w:eastAsia="Times New Roman" w:cs="Times New Roman"/>
                <w:sz w:val="18"/>
                <w:szCs w:val="22"/>
                <w:lang w:eastAsia="es-GT"/>
              </w:rPr>
            </w:pPr>
          </w:p>
        </w:tc>
        <w:tc>
          <w:tcPr>
            <w:tcW w:w="1230" w:type="pct"/>
            <w:hideMark/>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Personas capacitadas sobre derechos humanos de las mujeres.</w:t>
            </w:r>
          </w:p>
        </w:tc>
        <w:tc>
          <w:tcPr>
            <w:tcW w:w="576"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5,500</w:t>
            </w:r>
          </w:p>
        </w:tc>
        <w:tc>
          <w:tcPr>
            <w:tcW w:w="547"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5,000</w:t>
            </w:r>
          </w:p>
        </w:tc>
        <w:tc>
          <w:tcPr>
            <w:tcW w:w="499"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2,489</w:t>
            </w:r>
          </w:p>
        </w:tc>
        <w:tc>
          <w:tcPr>
            <w:tcW w:w="638"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49.78%</w:t>
            </w:r>
          </w:p>
        </w:tc>
        <w:tc>
          <w:tcPr>
            <w:tcW w:w="665"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85.24%</w:t>
            </w:r>
          </w:p>
        </w:tc>
      </w:tr>
      <w:tr w:rsidR="00541A2D" w:rsidRPr="00881D85" w:rsidTr="00D4642F">
        <w:trPr>
          <w:trHeight w:val="445"/>
        </w:trPr>
        <w:tc>
          <w:tcPr>
            <w:cnfStyle w:val="001000000000" w:firstRow="0" w:lastRow="0" w:firstColumn="1" w:lastColumn="0" w:oddVBand="0" w:evenVBand="0" w:oddHBand="0" w:evenHBand="0" w:firstRowFirstColumn="0" w:firstRowLastColumn="0" w:lastRowFirstColumn="0" w:lastRowLastColumn="0"/>
            <w:tcW w:w="845" w:type="pct"/>
            <w:hideMark/>
          </w:tcPr>
          <w:p w:rsidR="00541A2D" w:rsidRPr="00881D85" w:rsidRDefault="00541A2D" w:rsidP="006E0030">
            <w:pPr>
              <w:rPr>
                <w:rFonts w:eastAsia="Times New Roman" w:cs="Times New Roman"/>
                <w:sz w:val="18"/>
                <w:szCs w:val="22"/>
                <w:lang w:eastAsia="es-GT"/>
              </w:rPr>
            </w:pPr>
            <w:r w:rsidRPr="00881D85">
              <w:rPr>
                <w:rFonts w:eastAsia="Times New Roman" w:cs="Times New Roman"/>
                <w:sz w:val="18"/>
                <w:szCs w:val="22"/>
                <w:lang w:eastAsia="es-GT"/>
              </w:rPr>
              <w:t xml:space="preserve">Recreación de los Trabajadores del Estado </w:t>
            </w:r>
          </w:p>
        </w:tc>
        <w:tc>
          <w:tcPr>
            <w:tcW w:w="1230" w:type="pct"/>
            <w:hideMark/>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Empleados públicos atendidos en centros recreativos y vacacionales</w:t>
            </w:r>
          </w:p>
        </w:tc>
        <w:tc>
          <w:tcPr>
            <w:tcW w:w="576"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266,270</w:t>
            </w:r>
          </w:p>
        </w:tc>
        <w:tc>
          <w:tcPr>
            <w:tcW w:w="547"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215,002</w:t>
            </w:r>
          </w:p>
        </w:tc>
        <w:tc>
          <w:tcPr>
            <w:tcW w:w="499"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36,541</w:t>
            </w:r>
          </w:p>
        </w:tc>
        <w:tc>
          <w:tcPr>
            <w:tcW w:w="638" w:type="pct"/>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17%</w:t>
            </w:r>
          </w:p>
        </w:tc>
        <w:tc>
          <w:tcPr>
            <w:tcW w:w="665" w:type="pct"/>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41.69%</w:t>
            </w:r>
          </w:p>
        </w:tc>
      </w:tr>
      <w:tr w:rsidR="00541A2D" w:rsidRPr="00881D85" w:rsidTr="00D4642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45" w:type="pct"/>
            <w:hideMark/>
          </w:tcPr>
          <w:p w:rsidR="00541A2D" w:rsidRPr="00881D85" w:rsidRDefault="00541A2D" w:rsidP="006E0030">
            <w:pPr>
              <w:rPr>
                <w:rFonts w:eastAsia="Times New Roman" w:cs="Times New Roman"/>
                <w:sz w:val="18"/>
                <w:szCs w:val="22"/>
                <w:lang w:eastAsia="es-GT"/>
              </w:rPr>
            </w:pPr>
            <w:r w:rsidRPr="00881D85">
              <w:rPr>
                <w:rFonts w:eastAsia="Times New Roman" w:cs="Times New Roman"/>
                <w:sz w:val="18"/>
                <w:szCs w:val="22"/>
                <w:lang w:eastAsia="es-GT"/>
              </w:rPr>
              <w:t>Atención al Adulto Mayor</w:t>
            </w:r>
          </w:p>
        </w:tc>
        <w:tc>
          <w:tcPr>
            <w:tcW w:w="1230" w:type="pct"/>
            <w:hideMark/>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Aporte económico entregado al adulto mayor</w:t>
            </w:r>
          </w:p>
        </w:tc>
        <w:tc>
          <w:tcPr>
            <w:tcW w:w="576"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1,250,000</w:t>
            </w:r>
          </w:p>
        </w:tc>
        <w:tc>
          <w:tcPr>
            <w:tcW w:w="547" w:type="pct"/>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1,353,448</w:t>
            </w:r>
          </w:p>
        </w:tc>
        <w:tc>
          <w:tcPr>
            <w:tcW w:w="499"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398,074</w:t>
            </w:r>
          </w:p>
        </w:tc>
        <w:tc>
          <w:tcPr>
            <w:tcW w:w="638"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29.41%</w:t>
            </w:r>
          </w:p>
        </w:tc>
        <w:tc>
          <w:tcPr>
            <w:tcW w:w="665" w:type="pct"/>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59.14%</w:t>
            </w:r>
          </w:p>
        </w:tc>
      </w:tr>
      <w:tr w:rsidR="00541A2D" w:rsidRPr="00881D85" w:rsidTr="00D96C32">
        <w:trPr>
          <w:trHeight w:val="1029"/>
        </w:trPr>
        <w:tc>
          <w:tcPr>
            <w:cnfStyle w:val="001000000000" w:firstRow="0" w:lastRow="0" w:firstColumn="1" w:lastColumn="0" w:oddVBand="0" w:evenVBand="0" w:oddHBand="0" w:evenHBand="0" w:firstRowFirstColumn="0" w:firstRowLastColumn="0" w:lastRowFirstColumn="0" w:lastRowLastColumn="0"/>
            <w:tcW w:w="845" w:type="pct"/>
            <w:vMerge w:val="restart"/>
            <w:tcBorders>
              <w:left w:val="single" w:sz="4" w:space="0" w:color="FFFFFF"/>
            </w:tcBorders>
            <w:shd w:val="clear" w:color="auto" w:fill="5B9BD5"/>
          </w:tcPr>
          <w:p w:rsidR="00541A2D" w:rsidRPr="00881D85" w:rsidRDefault="00541A2D" w:rsidP="006E0030">
            <w:pPr>
              <w:tabs>
                <w:tab w:val="center" w:pos="4362"/>
              </w:tabs>
              <w:jc w:val="left"/>
              <w:rPr>
                <w:sz w:val="18"/>
                <w:szCs w:val="22"/>
              </w:rPr>
            </w:pPr>
          </w:p>
          <w:p w:rsidR="00541A2D" w:rsidRPr="00881D85" w:rsidRDefault="00541A2D" w:rsidP="006E0030">
            <w:pPr>
              <w:rPr>
                <w:sz w:val="18"/>
                <w:szCs w:val="22"/>
              </w:rPr>
            </w:pPr>
          </w:p>
          <w:p w:rsidR="00541A2D" w:rsidRDefault="00541A2D" w:rsidP="006E0030">
            <w:pPr>
              <w:rPr>
                <w:sz w:val="18"/>
                <w:szCs w:val="22"/>
              </w:rPr>
            </w:pPr>
          </w:p>
          <w:p w:rsidR="00D4642F" w:rsidRPr="00881D85" w:rsidRDefault="00D4642F" w:rsidP="006E0030">
            <w:pPr>
              <w:rPr>
                <w:sz w:val="18"/>
                <w:szCs w:val="22"/>
              </w:rPr>
            </w:pPr>
          </w:p>
          <w:p w:rsidR="00541A2D" w:rsidRPr="00881D85" w:rsidRDefault="00541A2D" w:rsidP="006E0030">
            <w:pPr>
              <w:rPr>
                <w:rFonts w:eastAsia="Times New Roman" w:cs="Times New Roman"/>
                <w:sz w:val="18"/>
                <w:szCs w:val="22"/>
                <w:lang w:eastAsia="es-GT"/>
              </w:rPr>
            </w:pPr>
            <w:r w:rsidRPr="00881D85">
              <w:rPr>
                <w:sz w:val="18"/>
                <w:szCs w:val="22"/>
              </w:rPr>
              <w:t>Promoción de la Formalidad del Empleo</w:t>
            </w:r>
          </w:p>
        </w:tc>
        <w:tc>
          <w:tcPr>
            <w:tcW w:w="1230" w:type="pct"/>
            <w:shd w:val="clear" w:color="auto" w:fill="DEEAF6"/>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Estudios del mercado laboral para facilitar la inserción y movilidad laboral</w:t>
            </w:r>
            <w:r w:rsidRPr="00881D85">
              <w:rPr>
                <w:rFonts w:eastAsia="Times New Roman" w:cs="Times New Roman"/>
                <w:sz w:val="18"/>
                <w:szCs w:val="22"/>
                <w:lang w:eastAsia="es-GT"/>
              </w:rPr>
              <w:t xml:space="preserve"> </w:t>
            </w:r>
          </w:p>
        </w:tc>
        <w:tc>
          <w:tcPr>
            <w:tcW w:w="576"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w:t>
            </w:r>
          </w:p>
        </w:tc>
        <w:tc>
          <w:tcPr>
            <w:tcW w:w="547" w:type="pct"/>
            <w:shd w:val="clear" w:color="auto" w:fill="DEEAF6"/>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6</w:t>
            </w:r>
          </w:p>
        </w:tc>
        <w:tc>
          <w:tcPr>
            <w:tcW w:w="499"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w:t>
            </w:r>
          </w:p>
        </w:tc>
        <w:tc>
          <w:tcPr>
            <w:tcW w:w="638"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50%</w:t>
            </w:r>
          </w:p>
        </w:tc>
        <w:tc>
          <w:tcPr>
            <w:tcW w:w="665"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66.67%</w:t>
            </w:r>
          </w:p>
        </w:tc>
      </w:tr>
      <w:tr w:rsidR="00541A2D" w:rsidRPr="00881D85" w:rsidTr="00D4642F">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845" w:type="pct"/>
            <w:vMerge/>
            <w:tcBorders>
              <w:left w:val="single" w:sz="4" w:space="0" w:color="FFFFFF"/>
            </w:tcBorders>
            <w:shd w:val="clear" w:color="auto" w:fill="5B9BD5"/>
          </w:tcPr>
          <w:p w:rsidR="00541A2D" w:rsidRPr="00881D85" w:rsidRDefault="00541A2D" w:rsidP="006E0030">
            <w:pPr>
              <w:rPr>
                <w:rFonts w:eastAsia="Times New Roman" w:cs="Times New Roman"/>
                <w:color w:val="auto"/>
                <w:sz w:val="18"/>
                <w:szCs w:val="22"/>
                <w:lang w:eastAsia="es-GT"/>
              </w:rPr>
            </w:pPr>
          </w:p>
        </w:tc>
        <w:tc>
          <w:tcPr>
            <w:tcW w:w="1230" w:type="pct"/>
            <w:shd w:val="clear" w:color="auto" w:fill="BDD6EE"/>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sz w:val="18"/>
                <w:szCs w:val="22"/>
              </w:rPr>
              <w:t>Personas capacitadas para trabajar en actividades económicas diversas</w:t>
            </w:r>
          </w:p>
        </w:tc>
        <w:tc>
          <w:tcPr>
            <w:tcW w:w="576"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2,650</w:t>
            </w:r>
          </w:p>
        </w:tc>
        <w:tc>
          <w:tcPr>
            <w:tcW w:w="547" w:type="pct"/>
            <w:shd w:val="clear" w:color="auto" w:fill="BDD6EE"/>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2,425</w:t>
            </w:r>
          </w:p>
        </w:tc>
        <w:tc>
          <w:tcPr>
            <w:tcW w:w="499"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740</w:t>
            </w:r>
          </w:p>
        </w:tc>
        <w:tc>
          <w:tcPr>
            <w:tcW w:w="638"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30.52%</w:t>
            </w:r>
          </w:p>
        </w:tc>
        <w:tc>
          <w:tcPr>
            <w:tcW w:w="665"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32.49%</w:t>
            </w:r>
          </w:p>
        </w:tc>
      </w:tr>
      <w:tr w:rsidR="00541A2D" w:rsidRPr="00881D85" w:rsidTr="00D4642F">
        <w:trPr>
          <w:trHeight w:val="158"/>
        </w:trPr>
        <w:tc>
          <w:tcPr>
            <w:cnfStyle w:val="001000000000" w:firstRow="0" w:lastRow="0" w:firstColumn="1" w:lastColumn="0" w:oddVBand="0" w:evenVBand="0" w:oddHBand="0" w:evenHBand="0" w:firstRowFirstColumn="0" w:firstRowLastColumn="0" w:lastRowFirstColumn="0" w:lastRowLastColumn="0"/>
            <w:tcW w:w="845" w:type="pct"/>
            <w:vMerge/>
            <w:tcBorders>
              <w:left w:val="single" w:sz="4" w:space="0" w:color="FFFFFF"/>
            </w:tcBorders>
            <w:shd w:val="clear" w:color="auto" w:fill="5B9BD5"/>
          </w:tcPr>
          <w:p w:rsidR="00541A2D" w:rsidRPr="00881D85" w:rsidRDefault="00541A2D" w:rsidP="006E0030">
            <w:pPr>
              <w:rPr>
                <w:rFonts w:eastAsia="Times New Roman" w:cs="Times New Roman"/>
                <w:color w:val="auto"/>
                <w:sz w:val="18"/>
                <w:szCs w:val="22"/>
                <w:lang w:eastAsia="es-GT"/>
              </w:rPr>
            </w:pPr>
          </w:p>
        </w:tc>
        <w:tc>
          <w:tcPr>
            <w:tcW w:w="1230" w:type="pct"/>
            <w:shd w:val="clear" w:color="auto" w:fill="DEEAF6"/>
          </w:tcPr>
          <w:p w:rsidR="00541A2D" w:rsidRPr="00881D85" w:rsidRDefault="00541A2D" w:rsidP="00CB1F49">
            <w:pPr>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sz w:val="18"/>
                <w:szCs w:val="22"/>
              </w:rPr>
              <w:t>Personas orientadas e insertadas en el mercado laboral</w:t>
            </w:r>
          </w:p>
        </w:tc>
        <w:tc>
          <w:tcPr>
            <w:tcW w:w="576"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33,000</w:t>
            </w:r>
          </w:p>
        </w:tc>
        <w:tc>
          <w:tcPr>
            <w:tcW w:w="547" w:type="pct"/>
            <w:shd w:val="clear" w:color="auto" w:fill="DEEAF6"/>
            <w:noWrap/>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33,000</w:t>
            </w:r>
          </w:p>
        </w:tc>
        <w:tc>
          <w:tcPr>
            <w:tcW w:w="499"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15,670</w:t>
            </w:r>
          </w:p>
        </w:tc>
        <w:tc>
          <w:tcPr>
            <w:tcW w:w="638"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47.48%</w:t>
            </w:r>
          </w:p>
        </w:tc>
        <w:tc>
          <w:tcPr>
            <w:tcW w:w="665" w:type="pct"/>
            <w:shd w:val="clear" w:color="auto" w:fill="DEEAF6"/>
          </w:tcPr>
          <w:p w:rsidR="00541A2D" w:rsidRPr="00881D85" w:rsidRDefault="00541A2D" w:rsidP="006E003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65.60%</w:t>
            </w:r>
          </w:p>
        </w:tc>
      </w:tr>
      <w:tr w:rsidR="00541A2D" w:rsidRPr="00881D85" w:rsidTr="00D4642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845" w:type="pct"/>
            <w:vMerge/>
            <w:tcBorders>
              <w:left w:val="single" w:sz="4" w:space="0" w:color="FFFFFF"/>
            </w:tcBorders>
            <w:shd w:val="clear" w:color="auto" w:fill="5B9BD5"/>
          </w:tcPr>
          <w:p w:rsidR="00541A2D" w:rsidRPr="00881D85" w:rsidRDefault="00541A2D" w:rsidP="006E0030">
            <w:pPr>
              <w:rPr>
                <w:rFonts w:eastAsia="Times New Roman" w:cs="Times New Roman"/>
                <w:color w:val="auto"/>
                <w:sz w:val="18"/>
                <w:szCs w:val="22"/>
                <w:lang w:eastAsia="es-GT"/>
              </w:rPr>
            </w:pPr>
          </w:p>
        </w:tc>
        <w:tc>
          <w:tcPr>
            <w:tcW w:w="1230" w:type="pct"/>
            <w:shd w:val="clear" w:color="auto" w:fill="BDD6EE"/>
          </w:tcPr>
          <w:p w:rsidR="00541A2D" w:rsidRPr="00881D85" w:rsidRDefault="00541A2D" w:rsidP="00CB1F49">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sz w:val="18"/>
                <w:szCs w:val="22"/>
              </w:rPr>
              <w:t>Inspecciones para la verificación del cumplimiento de la legislación laboral</w:t>
            </w:r>
          </w:p>
        </w:tc>
        <w:tc>
          <w:tcPr>
            <w:tcW w:w="576"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56,000</w:t>
            </w:r>
          </w:p>
        </w:tc>
        <w:tc>
          <w:tcPr>
            <w:tcW w:w="547" w:type="pct"/>
            <w:shd w:val="clear" w:color="auto" w:fill="BDD6EE"/>
            <w:noWrap/>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30,000</w:t>
            </w:r>
          </w:p>
        </w:tc>
        <w:tc>
          <w:tcPr>
            <w:tcW w:w="499"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5,125</w:t>
            </w:r>
          </w:p>
        </w:tc>
        <w:tc>
          <w:tcPr>
            <w:tcW w:w="638"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17.08%</w:t>
            </w:r>
          </w:p>
        </w:tc>
        <w:tc>
          <w:tcPr>
            <w:tcW w:w="665" w:type="pct"/>
            <w:shd w:val="clear" w:color="auto" w:fill="BDD6EE"/>
          </w:tcPr>
          <w:p w:rsidR="00541A2D" w:rsidRPr="00881D85" w:rsidRDefault="00541A2D" w:rsidP="006E003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2"/>
                <w:lang w:eastAsia="es-GT"/>
              </w:rPr>
            </w:pPr>
            <w:r w:rsidRPr="00881D85">
              <w:rPr>
                <w:rFonts w:eastAsia="Times New Roman" w:cs="Times New Roman"/>
                <w:sz w:val="18"/>
                <w:szCs w:val="22"/>
                <w:lang w:eastAsia="es-GT"/>
              </w:rPr>
              <w:t>35.17%</w:t>
            </w:r>
          </w:p>
        </w:tc>
      </w:tr>
    </w:tbl>
    <w:p w:rsidR="00541A2D" w:rsidRPr="00BB1AEC" w:rsidRDefault="00541A2D" w:rsidP="00541A2D">
      <w:pPr>
        <w:spacing w:line="240" w:lineRule="auto"/>
        <w:rPr>
          <w:sz w:val="18"/>
          <w:szCs w:val="18"/>
        </w:rPr>
      </w:pPr>
      <w:r w:rsidRPr="00BB1AEC">
        <w:rPr>
          <w:rFonts w:cs="Candara"/>
          <w:sz w:val="18"/>
          <w:szCs w:val="18"/>
        </w:rPr>
        <w:t>Fuente: Segundo Informe cuatrimestral del Ministerio de Trabajo y Previsión Social del año 2019</w:t>
      </w:r>
    </w:p>
    <w:p w:rsidR="00541A2D" w:rsidRPr="007223FB" w:rsidRDefault="00541A2D" w:rsidP="00541A2D">
      <w:pPr>
        <w:rPr>
          <w:rFonts w:eastAsia="Times New Roman" w:cs="Arial"/>
          <w:lang w:eastAsia="es-GT"/>
        </w:rPr>
      </w:pPr>
      <w:r w:rsidRPr="007223FB">
        <w:rPr>
          <w:rFonts w:eastAsia="Times New Roman" w:cs="Arial"/>
          <w:lang w:eastAsia="es-GT"/>
        </w:rPr>
        <w:lastRenderedPageBreak/>
        <w:t>Se observan productos con escaso avance para el segundo cuatrimestre, por ejemplo, “Personas extranjeras autorizadas para laborar en Guatemala”, con un 56.32%. El programa sobre la recreación de los trabajadores ilustra un avance de apenas 41.69%, así como el programa del adulto mayor con un 59.14% y dos productos del programa de promoción de la formalidad del empleo que no alcanzan el 36% de ejecución. Es importante que el Mintrab pueda priorizar las actividades que conlleven a un avance de mayor significancia de estos productos. Existen productos que ilustran un avance importante como el de personas capacitadas sobre derechos humanos de las mujeres, sin embargo el avance se logra sobre una meta inicial disminuida</w:t>
      </w:r>
      <w:r w:rsidR="003B7F92" w:rsidRPr="007223FB">
        <w:rPr>
          <w:rFonts w:eastAsia="Times New Roman" w:cs="Arial"/>
          <w:lang w:eastAsia="es-GT"/>
        </w:rPr>
        <w:t>.</w:t>
      </w:r>
    </w:p>
    <w:p w:rsidR="00541A2D" w:rsidRPr="00765ACE" w:rsidRDefault="00541A2D" w:rsidP="00765ACE">
      <w:pPr>
        <w:pStyle w:val="Ttulo5"/>
        <w:numPr>
          <w:ilvl w:val="0"/>
          <w:numId w:val="0"/>
        </w:numPr>
        <w:ind w:left="1008"/>
        <w:rPr>
          <w:rFonts w:ascii="Candara" w:hAnsi="Candara"/>
          <w:b/>
          <w:color w:val="auto"/>
          <w:sz w:val="18"/>
        </w:rPr>
      </w:pPr>
      <w:bookmarkStart w:id="107" w:name="_Toc19527395"/>
      <w:r w:rsidRPr="00765ACE">
        <w:rPr>
          <w:rFonts w:ascii="Candara" w:hAnsi="Candara"/>
          <w:b/>
          <w:color w:val="auto"/>
          <w:sz w:val="18"/>
        </w:rPr>
        <w:t xml:space="preserve">Gráfica </w:t>
      </w:r>
      <w:r w:rsidR="00D4642F">
        <w:rPr>
          <w:rFonts w:ascii="Candara" w:hAnsi="Candara"/>
          <w:b/>
          <w:color w:val="auto"/>
          <w:sz w:val="18"/>
        </w:rPr>
        <w:t>12</w:t>
      </w:r>
      <w:r w:rsidR="00D4642F">
        <w:rPr>
          <w:rFonts w:ascii="Candara" w:hAnsi="Candara"/>
          <w:b/>
          <w:color w:val="auto"/>
          <w:sz w:val="18"/>
        </w:rPr>
        <w:br/>
      </w:r>
      <w:r w:rsidRPr="00765ACE">
        <w:rPr>
          <w:rFonts w:ascii="Candara" w:hAnsi="Candara"/>
          <w:b/>
          <w:color w:val="auto"/>
          <w:sz w:val="18"/>
        </w:rPr>
        <w:t>Ejecución presupuestaria del Ministerio de Trabajo y Previsión Social</w:t>
      </w:r>
      <w:r w:rsidR="00D4642F">
        <w:rPr>
          <w:rFonts w:ascii="Candara" w:hAnsi="Candara"/>
          <w:b/>
          <w:color w:val="auto"/>
          <w:sz w:val="18"/>
        </w:rPr>
        <w:br/>
      </w:r>
      <w:r w:rsidRPr="00765ACE">
        <w:rPr>
          <w:rFonts w:ascii="Candara" w:hAnsi="Candara"/>
          <w:b/>
          <w:color w:val="auto"/>
          <w:sz w:val="18"/>
        </w:rPr>
        <w:t>Mayo – agosto 2019</w:t>
      </w:r>
      <w:r w:rsidR="00D4642F">
        <w:rPr>
          <w:rFonts w:ascii="Candara" w:hAnsi="Candara"/>
          <w:b/>
          <w:color w:val="auto"/>
          <w:sz w:val="18"/>
        </w:rPr>
        <w:br/>
      </w:r>
      <w:r w:rsidRPr="00765ACE">
        <w:rPr>
          <w:rFonts w:ascii="Candara" w:hAnsi="Candara"/>
          <w:b/>
          <w:color w:val="auto"/>
          <w:sz w:val="18"/>
        </w:rPr>
        <w:t>En millones de Q</w:t>
      </w:r>
      <w:bookmarkEnd w:id="107"/>
    </w:p>
    <w:p w:rsidR="00541A2D" w:rsidRPr="007223FB" w:rsidRDefault="00541A2D" w:rsidP="00D4642F">
      <w:pPr>
        <w:tabs>
          <w:tab w:val="center" w:pos="4362"/>
        </w:tabs>
        <w:spacing w:after="0" w:line="240" w:lineRule="auto"/>
        <w:jc w:val="center"/>
      </w:pPr>
      <w:r w:rsidRPr="007223FB">
        <w:rPr>
          <w:noProof/>
          <w:lang w:eastAsia="es-GT"/>
        </w:rPr>
        <w:drawing>
          <wp:anchor distT="0" distB="0" distL="114300" distR="114300" simplePos="0" relativeHeight="251670528" behindDoc="1" locked="0" layoutInCell="1" allowOverlap="1" wp14:anchorId="3F92E88C" wp14:editId="01F00E3E">
            <wp:simplePos x="0" y="0"/>
            <wp:positionH relativeFrom="margin">
              <wp:posOffset>1048698</wp:posOffset>
            </wp:positionH>
            <wp:positionV relativeFrom="paragraph">
              <wp:posOffset>31949</wp:posOffset>
            </wp:positionV>
            <wp:extent cx="4050030" cy="2400300"/>
            <wp:effectExtent l="0" t="0" r="7620" b="0"/>
            <wp:wrapTight wrapText="bothSides">
              <wp:wrapPolygon edited="0">
                <wp:start x="0" y="0"/>
                <wp:lineTo x="0" y="21429"/>
                <wp:lineTo x="21539" y="21429"/>
                <wp:lineTo x="2153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003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92" w:rsidRPr="007223FB" w:rsidRDefault="003B7F92"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3B7F92" w:rsidRDefault="003B7F92" w:rsidP="00D4642F">
      <w:pPr>
        <w:spacing w:after="0" w:line="240" w:lineRule="auto"/>
        <w:jc w:val="center"/>
        <w:rPr>
          <w:rFonts w:cs="Candara"/>
        </w:rPr>
      </w:pPr>
    </w:p>
    <w:p w:rsidR="00D4642F" w:rsidRDefault="00D4642F" w:rsidP="00D4642F">
      <w:pPr>
        <w:spacing w:after="0" w:line="240" w:lineRule="auto"/>
        <w:jc w:val="center"/>
        <w:rPr>
          <w:rFonts w:cs="Candara"/>
        </w:rPr>
      </w:pPr>
    </w:p>
    <w:p w:rsidR="00D4642F" w:rsidRDefault="00D4642F" w:rsidP="00D4642F">
      <w:pPr>
        <w:spacing w:after="0" w:line="240" w:lineRule="auto"/>
        <w:jc w:val="center"/>
        <w:rPr>
          <w:rFonts w:cs="Candara"/>
        </w:rPr>
      </w:pPr>
    </w:p>
    <w:p w:rsidR="00D4642F" w:rsidRDefault="00D4642F" w:rsidP="00D4642F">
      <w:pPr>
        <w:spacing w:after="0" w:line="240" w:lineRule="auto"/>
        <w:jc w:val="center"/>
        <w:rPr>
          <w:rFonts w:cs="Candara"/>
        </w:rPr>
      </w:pPr>
    </w:p>
    <w:p w:rsidR="00D4642F" w:rsidRDefault="00D4642F" w:rsidP="00D4642F">
      <w:pPr>
        <w:spacing w:after="0" w:line="240" w:lineRule="auto"/>
        <w:jc w:val="center"/>
        <w:rPr>
          <w:rFonts w:cs="Candara"/>
        </w:rPr>
      </w:pPr>
    </w:p>
    <w:p w:rsidR="00D4642F" w:rsidRDefault="00D4642F" w:rsidP="00D4642F">
      <w:pPr>
        <w:spacing w:after="0" w:line="240" w:lineRule="auto"/>
        <w:jc w:val="center"/>
        <w:rPr>
          <w:rFonts w:cs="Candara"/>
        </w:rPr>
      </w:pPr>
    </w:p>
    <w:p w:rsidR="00D4642F" w:rsidRPr="007223FB" w:rsidRDefault="00D4642F" w:rsidP="00D4642F">
      <w:pPr>
        <w:spacing w:after="0" w:line="240" w:lineRule="auto"/>
        <w:jc w:val="center"/>
        <w:rPr>
          <w:rFonts w:cs="Candara"/>
        </w:rPr>
      </w:pPr>
    </w:p>
    <w:p w:rsidR="003B7F92" w:rsidRPr="007223FB" w:rsidRDefault="003B7F92" w:rsidP="00D4642F">
      <w:pPr>
        <w:spacing w:after="0" w:line="240" w:lineRule="auto"/>
        <w:jc w:val="center"/>
        <w:rPr>
          <w:rFonts w:cs="Candara"/>
        </w:rPr>
      </w:pPr>
    </w:p>
    <w:p w:rsidR="00541A2D" w:rsidRPr="00BB1AEC" w:rsidRDefault="004A5DEC" w:rsidP="00D4642F">
      <w:pPr>
        <w:spacing w:after="0" w:line="240" w:lineRule="auto"/>
        <w:jc w:val="center"/>
        <w:rPr>
          <w:rFonts w:eastAsia="Times New Roman" w:cs="Arial"/>
          <w:sz w:val="18"/>
          <w:lang w:eastAsia="es-GT"/>
        </w:rPr>
      </w:pPr>
      <w:r w:rsidRPr="00BB1AEC">
        <w:rPr>
          <w:rFonts w:cs="Candara"/>
          <w:sz w:val="18"/>
        </w:rPr>
        <w:t xml:space="preserve">Fuente: Elaboración SEGEPLAN </w:t>
      </w:r>
      <w:r w:rsidR="00541A2D" w:rsidRPr="00BB1AEC">
        <w:rPr>
          <w:rFonts w:cs="Candara"/>
          <w:sz w:val="18"/>
        </w:rPr>
        <w:t xml:space="preserve">con base a datos </w:t>
      </w:r>
      <w:r w:rsidRPr="00BB1AEC">
        <w:rPr>
          <w:rFonts w:cs="Candara"/>
          <w:sz w:val="18"/>
        </w:rPr>
        <w:t>del SICOIN</w:t>
      </w:r>
      <w:r w:rsidR="00541A2D" w:rsidRPr="00BB1AEC">
        <w:rPr>
          <w:rFonts w:cs="Candara"/>
          <w:sz w:val="18"/>
        </w:rPr>
        <w:t>, septiembre 2019</w:t>
      </w:r>
    </w:p>
    <w:p w:rsidR="00541A2D" w:rsidRPr="007223FB" w:rsidRDefault="00541A2D" w:rsidP="00881D85">
      <w:pPr>
        <w:spacing w:before="120" w:after="120" w:line="240" w:lineRule="auto"/>
        <w:rPr>
          <w:rFonts w:eastAsia="Times New Roman" w:cs="Arial"/>
          <w:lang w:eastAsia="es-GT"/>
        </w:rPr>
      </w:pPr>
      <w:r w:rsidRPr="007223FB">
        <w:rPr>
          <w:rFonts w:eastAsia="Times New Roman" w:cs="Arial"/>
          <w:lang w:eastAsia="es-GT"/>
        </w:rPr>
        <w:t>En lo financiero, el Mintrab inicio el ejercicio 2019 con un presupuesto de Q.</w:t>
      </w:r>
      <w:r w:rsidRPr="007223FB">
        <w:t xml:space="preserve"> </w:t>
      </w:r>
      <w:r w:rsidRPr="007223FB">
        <w:rPr>
          <w:rFonts w:eastAsia="Times New Roman" w:cs="Arial"/>
          <w:lang w:eastAsia="es-GT"/>
        </w:rPr>
        <w:t>752.24 millones</w:t>
      </w:r>
      <w:r w:rsidR="003B7F92" w:rsidRPr="007223FB">
        <w:rPr>
          <w:rFonts w:eastAsia="Times New Roman" w:cs="Arial"/>
          <w:lang w:eastAsia="es-GT"/>
        </w:rPr>
        <w:t>, vigente</w:t>
      </w:r>
      <w:r w:rsidRPr="007223FB">
        <w:rPr>
          <w:rFonts w:eastAsia="Times New Roman" w:cs="Arial"/>
          <w:lang w:eastAsia="es-GT"/>
        </w:rPr>
        <w:t xml:space="preserve"> de Q. 753.19 millones y durante el cuatrimestre la ejecución fue del 27.71%, es decir, Q. 208.73 millones respecto al presupuesto vigente.</w:t>
      </w:r>
    </w:p>
    <w:p w:rsidR="00C7398E" w:rsidRPr="007223FB" w:rsidRDefault="00C7398E"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de Economía</w:t>
      </w:r>
      <w:r w:rsidR="00D96C32" w:rsidRPr="007223FB">
        <w:rPr>
          <w:b/>
          <w:lang w:val="es-ES" w:eastAsia="es-GT"/>
        </w:rPr>
        <w:t xml:space="preserve"> –MINECO-</w:t>
      </w:r>
    </w:p>
    <w:p w:rsidR="00921A25" w:rsidRPr="007223FB" w:rsidRDefault="00921A25" w:rsidP="00881D85">
      <w:pPr>
        <w:spacing w:before="120" w:after="120" w:line="240" w:lineRule="auto"/>
        <w:rPr>
          <w:rFonts w:cs="Arial"/>
        </w:rPr>
      </w:pPr>
      <w:r w:rsidRPr="007223FB">
        <w:rPr>
          <w:rFonts w:cs="Arial"/>
        </w:rPr>
        <w:t>Los resultados institucionales establecidos son: 1) Para el 2022 se ha   incrementado a 53, 010, el número de consumidores y usuarios atendidos sobre sus derechos y obligaciones de 34,200,  en 2016 a 53, 010 en 2022; 2) Para el 2022 se ha incrementado en un 41% el número de personas individuales y jurídicas beneficiadas con servicios registrales de 15% en 2017 a 41% en  2022: 3) Para el 2022  se han incrementado  7 negociaciones comerciales  para el fomento de las exportaciones de 26 en 2017 a  33  en  2022; 4) Para el 2022  se han incrementado las condiciones de competitividad para el país y se ha mejorado el Índice Global de Competitividad  a 4. 12 de 4. 08 en 2017 a 4.12 en  2022; 5) Para  el  2022  se  ha  incrementado  a  106, 299  el  número  de  Micros    pequeñas  y  medianas  empresas    mujeres  empresarias y artesanos  beneficiados con acceso a créditos y servicios de desarrollo empresarial  de 14, 100 en 2017 a 106, 299 en 2022.</w:t>
      </w:r>
    </w:p>
    <w:p w:rsidR="00D4642F" w:rsidRDefault="00D4642F">
      <w:pPr>
        <w:jc w:val="left"/>
        <w:rPr>
          <w:rFonts w:eastAsiaTheme="majorEastAsia" w:cstheme="majorBidi"/>
          <w:b/>
          <w:caps/>
          <w:spacing w:val="10"/>
          <w:sz w:val="18"/>
          <w:lang w:eastAsia="es-GT"/>
        </w:rPr>
      </w:pPr>
      <w:bookmarkStart w:id="108" w:name="_Toc19524704"/>
      <w:r>
        <w:rPr>
          <w:b/>
          <w:sz w:val="18"/>
        </w:rPr>
        <w:br w:type="page"/>
      </w:r>
    </w:p>
    <w:p w:rsidR="00921A25" w:rsidRPr="00A17383" w:rsidRDefault="00921A25" w:rsidP="00A17383">
      <w:pPr>
        <w:pStyle w:val="Ttulo4"/>
        <w:numPr>
          <w:ilvl w:val="0"/>
          <w:numId w:val="0"/>
        </w:numPr>
        <w:ind w:left="864"/>
        <w:rPr>
          <w:rFonts w:ascii="Candara" w:hAnsi="Candara"/>
          <w:b/>
          <w:color w:val="auto"/>
          <w:sz w:val="18"/>
        </w:rPr>
      </w:pPr>
      <w:r w:rsidRPr="00A17383">
        <w:rPr>
          <w:rFonts w:ascii="Candara" w:hAnsi="Candara"/>
          <w:b/>
          <w:color w:val="auto"/>
          <w:sz w:val="18"/>
        </w:rPr>
        <w:lastRenderedPageBreak/>
        <w:t xml:space="preserve">Cuadro </w:t>
      </w:r>
      <w:r w:rsidR="009B30CD">
        <w:rPr>
          <w:rFonts w:ascii="Candara" w:hAnsi="Candara"/>
          <w:b/>
          <w:color w:val="auto"/>
          <w:sz w:val="18"/>
        </w:rPr>
        <w:t>18</w:t>
      </w:r>
      <w:r w:rsidR="009B30CD">
        <w:rPr>
          <w:rFonts w:ascii="Candara" w:hAnsi="Candara"/>
          <w:b/>
          <w:color w:val="auto"/>
          <w:sz w:val="18"/>
        </w:rPr>
        <w:br/>
      </w:r>
      <w:r w:rsidRPr="00A17383">
        <w:rPr>
          <w:rFonts w:ascii="Candara" w:hAnsi="Candara"/>
          <w:b/>
          <w:color w:val="auto"/>
          <w:sz w:val="18"/>
        </w:rPr>
        <w:t>Resultados Institucionales y Productos del Ministerio de Economía</w:t>
      </w:r>
      <w:r w:rsidR="009B30CD">
        <w:rPr>
          <w:rFonts w:ascii="Candara" w:hAnsi="Candara"/>
          <w:b/>
          <w:color w:val="auto"/>
          <w:sz w:val="18"/>
        </w:rPr>
        <w:br/>
      </w:r>
      <w:r w:rsidRPr="00A17383">
        <w:rPr>
          <w:rFonts w:ascii="Candara" w:hAnsi="Candara"/>
          <w:b/>
          <w:color w:val="auto"/>
          <w:sz w:val="18"/>
        </w:rPr>
        <w:t>Mayo – agosto 2019</w:t>
      </w:r>
      <w:bookmarkEnd w:id="108"/>
    </w:p>
    <w:tbl>
      <w:tblPr>
        <w:tblStyle w:val="Tabladecuadrcula5oscura-nfasis112"/>
        <w:tblW w:w="5000" w:type="pct"/>
        <w:tblLayout w:type="fixed"/>
        <w:tblLook w:val="04A0" w:firstRow="1" w:lastRow="0" w:firstColumn="1" w:lastColumn="0" w:noHBand="0" w:noVBand="1"/>
      </w:tblPr>
      <w:tblGrid>
        <w:gridCol w:w="2029"/>
        <w:gridCol w:w="2439"/>
        <w:gridCol w:w="949"/>
        <w:gridCol w:w="1084"/>
        <w:gridCol w:w="949"/>
        <w:gridCol w:w="990"/>
        <w:gridCol w:w="990"/>
      </w:tblGrid>
      <w:tr w:rsidR="00921A25" w:rsidRPr="007223FB" w:rsidTr="00881D85">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1076" w:type="pct"/>
            <w:vMerge w:val="restart"/>
            <w:hideMark/>
          </w:tcPr>
          <w:p w:rsidR="00921A25" w:rsidRPr="00BB1AEC" w:rsidRDefault="00921A25" w:rsidP="00D4642F">
            <w:pPr>
              <w:jc w:val="center"/>
              <w:rPr>
                <w:rFonts w:eastAsia="Times New Roman" w:cs="Times New Roman"/>
                <w:sz w:val="20"/>
                <w:szCs w:val="22"/>
                <w:lang w:eastAsia="es-GT"/>
              </w:rPr>
            </w:pPr>
            <w:r w:rsidRPr="00BB1AEC">
              <w:rPr>
                <w:rFonts w:eastAsia="Times New Roman" w:cs="Times New Roman"/>
                <w:sz w:val="20"/>
                <w:szCs w:val="22"/>
                <w:lang w:eastAsia="es-GT"/>
              </w:rPr>
              <w:t>Resultados</w:t>
            </w:r>
          </w:p>
        </w:tc>
        <w:tc>
          <w:tcPr>
            <w:tcW w:w="1293" w:type="pct"/>
            <w:vMerge w:val="restart"/>
            <w:hideMark/>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Productos</w:t>
            </w:r>
          </w:p>
        </w:tc>
        <w:tc>
          <w:tcPr>
            <w:tcW w:w="2631" w:type="pct"/>
            <w:gridSpan w:val="5"/>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Avance físico cuatrimestral y acumulado</w:t>
            </w:r>
          </w:p>
        </w:tc>
      </w:tr>
      <w:tr w:rsidR="00921A25" w:rsidRPr="007223FB" w:rsidTr="00881D85">
        <w:trPr>
          <w:cnfStyle w:val="100000000000" w:firstRow="1" w:lastRow="0" w:firstColumn="0" w:lastColumn="0" w:oddVBand="0" w:evenVBand="0" w:oddHBand="0" w:evenHBand="0" w:firstRowFirstColumn="0" w:firstRowLastColumn="0" w:lastRowFirstColumn="0" w:lastRowLastColumn="0"/>
          <w:trHeight w:val="502"/>
          <w:tblHeader/>
        </w:trPr>
        <w:tc>
          <w:tcPr>
            <w:cnfStyle w:val="001000000000" w:firstRow="0" w:lastRow="0" w:firstColumn="1" w:lastColumn="0" w:oddVBand="0" w:evenVBand="0" w:oddHBand="0" w:evenHBand="0" w:firstRowFirstColumn="0" w:firstRowLastColumn="0" w:lastRowFirstColumn="0" w:lastRowLastColumn="0"/>
            <w:tcW w:w="1076" w:type="pct"/>
            <w:vMerge/>
            <w:hideMark/>
          </w:tcPr>
          <w:p w:rsidR="00921A25" w:rsidRPr="00BB1AEC" w:rsidRDefault="00921A25" w:rsidP="00D4642F">
            <w:pPr>
              <w:jc w:val="left"/>
              <w:rPr>
                <w:rFonts w:eastAsia="Times New Roman" w:cs="Times New Roman"/>
                <w:color w:val="auto"/>
                <w:sz w:val="20"/>
                <w:szCs w:val="22"/>
                <w:lang w:eastAsia="es-GT"/>
              </w:rPr>
            </w:pPr>
          </w:p>
        </w:tc>
        <w:tc>
          <w:tcPr>
            <w:tcW w:w="1293" w:type="pct"/>
            <w:vMerge/>
            <w:hideMark/>
          </w:tcPr>
          <w:p w:rsidR="00921A25" w:rsidRPr="00BB1AEC" w:rsidRDefault="00921A25" w:rsidP="00D4642F">
            <w:pPr>
              <w:jc w:val="lef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p>
        </w:tc>
        <w:tc>
          <w:tcPr>
            <w:tcW w:w="503" w:type="pct"/>
            <w:shd w:val="clear" w:color="auto" w:fill="BDD6EE"/>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sz w:val="20"/>
                <w:szCs w:val="22"/>
              </w:rPr>
              <w:t>Inicial</w:t>
            </w:r>
          </w:p>
        </w:tc>
        <w:tc>
          <w:tcPr>
            <w:tcW w:w="575" w:type="pct"/>
            <w:shd w:val="clear" w:color="auto" w:fill="BDD6EE"/>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sz w:val="20"/>
                <w:szCs w:val="22"/>
              </w:rPr>
              <w:t>Vigente</w:t>
            </w:r>
          </w:p>
        </w:tc>
        <w:tc>
          <w:tcPr>
            <w:tcW w:w="503" w:type="pct"/>
            <w:shd w:val="clear" w:color="auto" w:fill="BDD6EE"/>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sz w:val="20"/>
                <w:szCs w:val="22"/>
              </w:rPr>
              <w:t>Avance</w:t>
            </w:r>
          </w:p>
        </w:tc>
        <w:tc>
          <w:tcPr>
            <w:tcW w:w="525" w:type="pct"/>
            <w:shd w:val="clear" w:color="auto" w:fill="BDD6EE"/>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sz w:val="20"/>
                <w:szCs w:val="22"/>
              </w:rPr>
              <w:t>Porcentaje de avance</w:t>
            </w:r>
          </w:p>
        </w:tc>
        <w:tc>
          <w:tcPr>
            <w:tcW w:w="525" w:type="pct"/>
            <w:shd w:val="clear" w:color="auto" w:fill="BDD6EE"/>
          </w:tcPr>
          <w:p w:rsidR="00921A25" w:rsidRPr="00BB1AEC" w:rsidRDefault="00921A25" w:rsidP="00D464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sz w:val="20"/>
                <w:szCs w:val="22"/>
              </w:rPr>
              <w:t>Acumulado</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val="restart"/>
          </w:tcPr>
          <w:p w:rsidR="00921A25" w:rsidRPr="00BB1AEC" w:rsidRDefault="00921A25" w:rsidP="00D4642F">
            <w:pPr>
              <w:jc w:val="left"/>
              <w:rPr>
                <w:rFonts w:eastAsia="Times New Roman" w:cs="Times New Roman"/>
                <w:sz w:val="20"/>
                <w:szCs w:val="22"/>
                <w:lang w:eastAsia="es-GT"/>
              </w:rPr>
            </w:pPr>
            <w:r w:rsidRPr="00BB1AEC">
              <w:rPr>
                <w:rFonts w:eastAsia="Times New Roman" w:cs="Times New Roman"/>
                <w:sz w:val="20"/>
                <w:szCs w:val="22"/>
                <w:lang w:eastAsia="es-GT"/>
              </w:rPr>
              <w:t>Para el 2022  se han incrementado las condiciones de competitividad para el país y se ha mejorado el Índice Global de Competitividad  a 4. 12 de 4. 08 en 2017 a 4.12 en  2022</w:t>
            </w: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Instituciones      beneficiadas   con   asistencia   técnica   para   la   mejora   de   la   productividad   y   competitividad</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646</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652</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227</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34.82%</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62.73%</w:t>
            </w:r>
          </w:p>
        </w:tc>
      </w:tr>
      <w:tr w:rsidR="00921A25" w:rsidRPr="007223FB" w:rsidTr="000F08EE">
        <w:trPr>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Certificados, normas y registros emitidos a entidades privadas, públicas y académicas para promover la adopción de prácticas de gestión de la calidad</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357</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317</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69</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21.77%</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47%</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Personas capacitadas e informadas sobre política y fomento de la</w:t>
            </w:r>
          </w:p>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cultura por la competencia</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2,200</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2,200</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1,365</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62.05%</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86.86%</w:t>
            </w:r>
          </w:p>
        </w:tc>
      </w:tr>
      <w:tr w:rsidR="00921A25" w:rsidRPr="007223FB" w:rsidTr="000F08EE">
        <w:trPr>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Empresas importadoras y exportadoras beneficiadas con exoneraciones fiscales por resoluciones de calificación</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290</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295</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97</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32.88%</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65.76%</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val="restart"/>
          </w:tcPr>
          <w:p w:rsidR="00921A25" w:rsidRPr="00BB1AEC" w:rsidRDefault="00921A25" w:rsidP="00D4642F">
            <w:pPr>
              <w:jc w:val="left"/>
              <w:rPr>
                <w:rFonts w:eastAsia="Times New Roman" w:cs="Times New Roman"/>
                <w:sz w:val="20"/>
                <w:szCs w:val="22"/>
                <w:lang w:eastAsia="es-GT"/>
              </w:rPr>
            </w:pPr>
            <w:r w:rsidRPr="00BB1AEC">
              <w:rPr>
                <w:rFonts w:eastAsia="Times New Roman" w:cs="Times New Roman"/>
                <w:sz w:val="20"/>
                <w:szCs w:val="22"/>
                <w:lang w:eastAsia="es-GT"/>
              </w:rPr>
              <w:t>Para el 2022  se han incrementado  7 negociaciones comerciales  para el fomento de las exportaciones de 26 en 2017 a  33  en  2022</w:t>
            </w: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Acuerdos y convenios comerciales negociados y suscritos para</w:t>
            </w:r>
          </w:p>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beneficio del sector exportador</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269</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269</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108</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40.15%</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79.55%</w:t>
            </w:r>
          </w:p>
        </w:tc>
      </w:tr>
      <w:tr w:rsidR="00921A25" w:rsidRPr="007223FB" w:rsidTr="000F08EE">
        <w:trPr>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Productores  exportadores e importadores beneficiados con la Administración los acuerdos comerciales internacionales que Guatemala tiene vigentes</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3,497</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4,081</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854</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20.93%</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64.96%</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Informes de análisis de las relaciones económicas y comerciales de Guatemala con otros países</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1,375</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1,375</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355</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25.82%</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69.38%</w:t>
            </w:r>
          </w:p>
        </w:tc>
      </w:tr>
      <w:tr w:rsidR="00921A25" w:rsidRPr="007223FB" w:rsidTr="000F08EE">
        <w:trPr>
          <w:trHeight w:val="502"/>
        </w:trPr>
        <w:tc>
          <w:tcPr>
            <w:cnfStyle w:val="001000000000" w:firstRow="0" w:lastRow="0" w:firstColumn="1" w:lastColumn="0" w:oddVBand="0" w:evenVBand="0" w:oddHBand="0" w:evenHBand="0" w:firstRowFirstColumn="0" w:firstRowLastColumn="0" w:lastRowFirstColumn="0" w:lastRowLastColumn="0"/>
            <w:tcW w:w="1076" w:type="pct"/>
            <w:vMerge w:val="restart"/>
          </w:tcPr>
          <w:p w:rsidR="00921A25" w:rsidRPr="00BB1AEC" w:rsidRDefault="00921A25" w:rsidP="00D4642F">
            <w:pPr>
              <w:jc w:val="left"/>
              <w:rPr>
                <w:rFonts w:eastAsia="Times New Roman" w:cs="Times New Roman"/>
                <w:sz w:val="20"/>
                <w:szCs w:val="22"/>
                <w:lang w:eastAsia="es-GT"/>
              </w:rPr>
            </w:pPr>
            <w:r w:rsidRPr="00BB1AEC">
              <w:rPr>
                <w:rFonts w:eastAsia="Times New Roman" w:cs="Times New Roman"/>
                <w:sz w:val="20"/>
                <w:szCs w:val="22"/>
                <w:lang w:eastAsia="es-GT"/>
              </w:rPr>
              <w:t xml:space="preserve">Para el 2022  se ha incrementado en un 41% el número de personas </w:t>
            </w:r>
            <w:r w:rsidRPr="00BB1AEC">
              <w:rPr>
                <w:rFonts w:eastAsia="Times New Roman" w:cs="Times New Roman"/>
                <w:sz w:val="20"/>
                <w:szCs w:val="22"/>
                <w:lang w:eastAsia="es-GT"/>
              </w:rPr>
              <w:lastRenderedPageBreak/>
              <w:t>individuales y jurídicas beneficiadas con servicios registrales de 15% en 2017 a 41% en  2022</w:t>
            </w: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lastRenderedPageBreak/>
              <w:t xml:space="preserve">Personas individuales y jurídicas beneficiadas con servicios de registro del mercado de valores, </w:t>
            </w:r>
            <w:r w:rsidRPr="00BB1AEC">
              <w:rPr>
                <w:rFonts w:eastAsia="Times New Roman" w:cs="Times New Roman"/>
                <w:sz w:val="20"/>
                <w:szCs w:val="22"/>
                <w:lang w:eastAsia="es-GT"/>
              </w:rPr>
              <w:lastRenderedPageBreak/>
              <w:t>certificación y firma electrónica</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lastRenderedPageBreak/>
              <w:t>290</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342</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216</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63.16%</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96.78%</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Personas individuales y jurídicas beneficiadas con servicios de registro de garantías mobiliarias</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12,000</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20,200</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5,830</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28.86%</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54.40%</w:t>
            </w:r>
          </w:p>
        </w:tc>
      </w:tr>
      <w:tr w:rsidR="00921A25" w:rsidRPr="007223FB" w:rsidTr="000F08EE">
        <w:trPr>
          <w:trHeight w:val="502"/>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Personas individuales y jurídicas beneficiadas con servicios de registro de patentes comerciales y títulos de propiedad intelectual</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98,000</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98,118</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36,340</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37.04%</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71.73%</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076" w:type="pct"/>
            <w:vMerge w:val="restart"/>
          </w:tcPr>
          <w:p w:rsidR="00921A25" w:rsidRPr="00BB1AEC" w:rsidRDefault="00921A25" w:rsidP="00D4642F">
            <w:pPr>
              <w:jc w:val="left"/>
              <w:rPr>
                <w:rFonts w:eastAsia="Times New Roman" w:cs="Times New Roman"/>
                <w:sz w:val="20"/>
                <w:szCs w:val="22"/>
                <w:lang w:eastAsia="es-GT"/>
              </w:rPr>
            </w:pPr>
            <w:r w:rsidRPr="00BB1AEC">
              <w:rPr>
                <w:rFonts w:eastAsia="Times New Roman" w:cs="Times New Roman"/>
                <w:sz w:val="20"/>
                <w:szCs w:val="22"/>
                <w:lang w:eastAsia="es-GT"/>
              </w:rPr>
              <w:t>Para  el  2022  se  ha  incrementado  a  106, 299  el  número  de  Micros    pequeñas  y  medianas  empresas    mujeres  empresarias y artesanos  beneficiados con acceso a créditos y servicios de desarrollo empresarial  de 14, 100 en 2017 a 106, 299 en 2022.</w:t>
            </w: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Artesanos capacitados en producción y comercialización artesanal</w:t>
            </w:r>
          </w:p>
        </w:tc>
        <w:tc>
          <w:tcPr>
            <w:tcW w:w="503" w:type="pct"/>
          </w:tcPr>
          <w:p w:rsidR="00921A25" w:rsidRPr="00BB1AEC" w:rsidRDefault="00921A25" w:rsidP="00D4642F">
            <w:pPr>
              <w:ind w:left="708" w:hanging="708"/>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2,000</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2,000</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1,103</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55.15%</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57.55%</w:t>
            </w:r>
          </w:p>
        </w:tc>
      </w:tr>
      <w:tr w:rsidR="00921A25" w:rsidRPr="007223FB" w:rsidTr="000F08EE">
        <w:trPr>
          <w:trHeight w:val="1004"/>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 xml:space="preserve">Mujeres empresarias capacitadas y con asistencia técnica en servicios de desarrollo empresarial </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1,748</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1,748</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1,205</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68.94%</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78.72%</w:t>
            </w:r>
          </w:p>
        </w:tc>
      </w:tr>
      <w:tr w:rsidR="00921A25" w:rsidRPr="007223FB" w:rsidTr="000F08EE">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076" w:type="pct"/>
            <w:vMerge w:val="restart"/>
          </w:tcPr>
          <w:p w:rsidR="00921A25" w:rsidRPr="00BB1AEC" w:rsidRDefault="00921A25" w:rsidP="00D4642F">
            <w:pPr>
              <w:jc w:val="left"/>
              <w:rPr>
                <w:rFonts w:eastAsia="Times New Roman" w:cs="Times New Roman"/>
                <w:sz w:val="20"/>
                <w:szCs w:val="22"/>
                <w:lang w:eastAsia="es-GT"/>
              </w:rPr>
            </w:pPr>
            <w:r w:rsidRPr="00BB1AEC">
              <w:rPr>
                <w:rFonts w:eastAsia="Times New Roman" w:cs="Times New Roman"/>
                <w:sz w:val="20"/>
                <w:szCs w:val="22"/>
                <w:lang w:eastAsia="es-GT"/>
              </w:rPr>
              <w:t>Para el 2022   se ha   incrementado a 53, 010, el número de consumidores y usuarios atendidos sobre sus derechos y obligaciones de 34,200,  en 2016 a 53, 010 en 2022</w:t>
            </w:r>
          </w:p>
        </w:tc>
        <w:tc>
          <w:tcPr>
            <w:tcW w:w="1293" w:type="pct"/>
          </w:tcPr>
          <w:p w:rsidR="00921A25" w:rsidRPr="00BB1AEC" w:rsidRDefault="00921A25" w:rsidP="00D4642F">
            <w:pP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 xml:space="preserve">Consumidores beneficiados con servicios de asistencia  protección y educación sobre sus derechos y obligaciones  </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41,724</w:t>
            </w:r>
          </w:p>
        </w:tc>
        <w:tc>
          <w:tcPr>
            <w:tcW w:w="57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45,278</w:t>
            </w:r>
          </w:p>
        </w:tc>
        <w:tc>
          <w:tcPr>
            <w:tcW w:w="503"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8,733</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19.29%</w:t>
            </w:r>
          </w:p>
        </w:tc>
        <w:tc>
          <w:tcPr>
            <w:tcW w:w="525" w:type="pct"/>
          </w:tcPr>
          <w:p w:rsidR="00921A25" w:rsidRPr="00BB1AEC" w:rsidRDefault="00921A25" w:rsidP="00D4642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53.28%</w:t>
            </w:r>
          </w:p>
        </w:tc>
      </w:tr>
      <w:tr w:rsidR="00921A25" w:rsidRPr="007223FB" w:rsidTr="000F08EE">
        <w:trPr>
          <w:trHeight w:val="1196"/>
        </w:trPr>
        <w:tc>
          <w:tcPr>
            <w:cnfStyle w:val="001000000000" w:firstRow="0" w:lastRow="0" w:firstColumn="1" w:lastColumn="0" w:oddVBand="0" w:evenVBand="0" w:oddHBand="0" w:evenHBand="0" w:firstRowFirstColumn="0" w:firstRowLastColumn="0" w:lastRowFirstColumn="0" w:lastRowLastColumn="0"/>
            <w:tcW w:w="1076" w:type="pct"/>
            <w:vMerge/>
          </w:tcPr>
          <w:p w:rsidR="00921A25" w:rsidRPr="00BB1AEC" w:rsidRDefault="00921A25" w:rsidP="00D4642F">
            <w:pPr>
              <w:jc w:val="left"/>
              <w:rPr>
                <w:rFonts w:eastAsia="Times New Roman" w:cs="Times New Roman"/>
                <w:sz w:val="20"/>
                <w:szCs w:val="22"/>
                <w:lang w:eastAsia="es-GT"/>
              </w:rPr>
            </w:pPr>
          </w:p>
        </w:tc>
        <w:tc>
          <w:tcPr>
            <w:tcW w:w="1293" w:type="pct"/>
          </w:tcPr>
          <w:p w:rsidR="00921A25" w:rsidRPr="00BB1AEC" w:rsidRDefault="00921A25" w:rsidP="00D4642F">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Supervisión a proveedores para el cumplimiento de sus obligaciones</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46,095</w:t>
            </w:r>
          </w:p>
        </w:tc>
        <w:tc>
          <w:tcPr>
            <w:tcW w:w="57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49,190</w:t>
            </w:r>
          </w:p>
        </w:tc>
        <w:tc>
          <w:tcPr>
            <w:tcW w:w="503"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17,728</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36.04%</w:t>
            </w:r>
          </w:p>
        </w:tc>
        <w:tc>
          <w:tcPr>
            <w:tcW w:w="525" w:type="pct"/>
          </w:tcPr>
          <w:p w:rsidR="00921A25" w:rsidRPr="00BB1AEC" w:rsidRDefault="00921A25" w:rsidP="00D4642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2"/>
                <w:lang w:eastAsia="es-GT"/>
              </w:rPr>
            </w:pPr>
            <w:r w:rsidRPr="00BB1AEC">
              <w:rPr>
                <w:rFonts w:eastAsia="Times New Roman" w:cs="Times New Roman"/>
                <w:sz w:val="20"/>
                <w:szCs w:val="22"/>
                <w:lang w:eastAsia="es-GT"/>
              </w:rPr>
              <w:t>76.41%</w:t>
            </w:r>
          </w:p>
        </w:tc>
      </w:tr>
    </w:tbl>
    <w:p w:rsidR="00921A25" w:rsidRPr="00BB1AEC" w:rsidRDefault="00921A25" w:rsidP="00921A25">
      <w:pPr>
        <w:spacing w:line="240" w:lineRule="auto"/>
        <w:rPr>
          <w:sz w:val="18"/>
          <w:szCs w:val="18"/>
        </w:rPr>
      </w:pPr>
      <w:r w:rsidRPr="00BB1AEC">
        <w:rPr>
          <w:rFonts w:cs="Candara"/>
          <w:sz w:val="18"/>
          <w:szCs w:val="18"/>
        </w:rPr>
        <w:t>Fuente: Segundo informe cuatrimestral del Ministerio de Economía año 2019</w:t>
      </w:r>
    </w:p>
    <w:p w:rsidR="00921A25" w:rsidRPr="007223FB" w:rsidRDefault="00921A25" w:rsidP="00881D85">
      <w:pPr>
        <w:spacing w:before="120" w:after="120" w:line="240" w:lineRule="auto"/>
      </w:pPr>
      <w:r w:rsidRPr="007223FB">
        <w:t>En relación al resultado sobre el posicionamiento de Guatemala en un ranking internacional sobre competitividad, se trabajaron 4 productos, uno de ellos “Certificados, normas y registros emitidos a entidades privadas, públicas y académicas para promover la adopción de prácticas de gestión de la calidad” presenta un avance físico poco significativo y sobre una meta reducida.   En cuanto al resultado sobre servicios registrales, se integra de 3 productos, uno de ellos no supera el 55% de ejecución. Sobre el resultado de asistencia técnica a Mipymes, el vinculado a la capacitación de artesanos alcanza un escaso avance de 57.55%. Sobre el resultado de usuarios atendidos sobre derechos y obligaciones, se observa un producto que no supera el 54% de ejecución. Los esfuerzos del Mineco deben priorizar los productos que muestran un avance poco significativo.</w:t>
      </w:r>
    </w:p>
    <w:p w:rsidR="00921A25" w:rsidRPr="00765ACE" w:rsidRDefault="00921A25" w:rsidP="00765ACE">
      <w:pPr>
        <w:pStyle w:val="Ttulo5"/>
        <w:numPr>
          <w:ilvl w:val="0"/>
          <w:numId w:val="0"/>
        </w:numPr>
        <w:ind w:left="1008"/>
        <w:rPr>
          <w:rFonts w:ascii="Candara" w:hAnsi="Candara"/>
          <w:b/>
          <w:color w:val="auto"/>
          <w:sz w:val="18"/>
        </w:rPr>
      </w:pPr>
      <w:bookmarkStart w:id="109" w:name="_Toc19527396"/>
      <w:r w:rsidRPr="00765ACE">
        <w:rPr>
          <w:rFonts w:ascii="Candara" w:hAnsi="Candara"/>
          <w:b/>
          <w:color w:val="auto"/>
          <w:sz w:val="18"/>
        </w:rPr>
        <w:lastRenderedPageBreak/>
        <w:t xml:space="preserve">Gráfica </w:t>
      </w:r>
      <w:r w:rsidR="00D4642F">
        <w:rPr>
          <w:rFonts w:ascii="Candara" w:hAnsi="Candara"/>
          <w:b/>
          <w:color w:val="auto"/>
          <w:sz w:val="18"/>
        </w:rPr>
        <w:t>13</w:t>
      </w:r>
      <w:r w:rsidR="00D4642F">
        <w:rPr>
          <w:rFonts w:ascii="Candara" w:hAnsi="Candara"/>
          <w:b/>
          <w:color w:val="auto"/>
          <w:sz w:val="18"/>
        </w:rPr>
        <w:br/>
      </w:r>
      <w:r w:rsidRPr="00765ACE">
        <w:rPr>
          <w:rFonts w:ascii="Candara" w:hAnsi="Candara"/>
          <w:b/>
          <w:color w:val="auto"/>
          <w:sz w:val="18"/>
        </w:rPr>
        <w:t>Ejecución presupuestaria del Ministerio de Economía</w:t>
      </w:r>
      <w:r w:rsidR="00D4642F">
        <w:rPr>
          <w:rFonts w:ascii="Candara" w:hAnsi="Candara"/>
          <w:b/>
          <w:color w:val="auto"/>
          <w:sz w:val="18"/>
        </w:rPr>
        <w:br/>
      </w:r>
      <w:r w:rsidRPr="00765ACE">
        <w:rPr>
          <w:rFonts w:ascii="Candara" w:hAnsi="Candara"/>
          <w:b/>
          <w:color w:val="auto"/>
          <w:sz w:val="18"/>
        </w:rPr>
        <w:t>Mayo - agosto 2019</w:t>
      </w:r>
      <w:r w:rsidR="00D4642F">
        <w:rPr>
          <w:rFonts w:ascii="Candara" w:hAnsi="Candara"/>
          <w:b/>
          <w:color w:val="auto"/>
          <w:sz w:val="18"/>
        </w:rPr>
        <w:br/>
      </w:r>
      <w:r w:rsidRPr="00765ACE">
        <w:rPr>
          <w:rFonts w:ascii="Candara" w:hAnsi="Candara"/>
          <w:b/>
          <w:color w:val="auto"/>
          <w:sz w:val="18"/>
        </w:rPr>
        <w:t>En millones de Q</w:t>
      </w:r>
      <w:bookmarkEnd w:id="109"/>
    </w:p>
    <w:p w:rsidR="00921A25" w:rsidRPr="007223FB" w:rsidRDefault="00921A25" w:rsidP="00A378C0">
      <w:pPr>
        <w:jc w:val="center"/>
        <w:rPr>
          <w:noProof/>
          <w:color w:val="7030A0"/>
          <w:lang w:eastAsia="es-GT"/>
        </w:rPr>
      </w:pPr>
      <w:r w:rsidRPr="007223FB">
        <w:rPr>
          <w:noProof/>
          <w:color w:val="7030A0"/>
          <w:lang w:eastAsia="es-GT"/>
        </w:rPr>
        <w:drawing>
          <wp:inline distT="0" distB="0" distL="0" distR="0" wp14:anchorId="715F09A8" wp14:editId="66026785">
            <wp:extent cx="4897596" cy="2897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04820" cy="2901779"/>
                    </a:xfrm>
                    <a:prstGeom prst="rect">
                      <a:avLst/>
                    </a:prstGeom>
                    <a:noFill/>
                  </pic:spPr>
                </pic:pic>
              </a:graphicData>
            </a:graphic>
          </wp:inline>
        </w:drawing>
      </w:r>
    </w:p>
    <w:p w:rsidR="00921A25" w:rsidRPr="00BB1AEC" w:rsidRDefault="00921A25" w:rsidP="00A378C0">
      <w:pPr>
        <w:jc w:val="center"/>
        <w:rPr>
          <w:rFonts w:eastAsia="Times New Roman" w:cs="Arial"/>
          <w:sz w:val="18"/>
          <w:szCs w:val="18"/>
          <w:lang w:eastAsia="es-GT"/>
        </w:rPr>
      </w:pPr>
      <w:r w:rsidRPr="00BB1AEC">
        <w:rPr>
          <w:rFonts w:cs="Candara"/>
          <w:sz w:val="18"/>
          <w:szCs w:val="18"/>
        </w:rPr>
        <w:t>Fuente:</w:t>
      </w:r>
      <w:r w:rsidR="004A5DEC" w:rsidRPr="00BB1AEC">
        <w:rPr>
          <w:rFonts w:cs="Candara"/>
          <w:sz w:val="18"/>
          <w:szCs w:val="18"/>
        </w:rPr>
        <w:t xml:space="preserve"> Elaboración SEGEPLAN con base en datos del SICOIN</w:t>
      </w:r>
      <w:r w:rsidRPr="00BB1AEC">
        <w:rPr>
          <w:rFonts w:cs="Candara"/>
          <w:sz w:val="18"/>
          <w:szCs w:val="18"/>
        </w:rPr>
        <w:t>, septiembre 2019</w:t>
      </w:r>
    </w:p>
    <w:p w:rsidR="00921A25" w:rsidRPr="007223FB" w:rsidRDefault="00921A25" w:rsidP="00881D85">
      <w:pPr>
        <w:spacing w:before="120" w:after="120" w:line="240" w:lineRule="auto"/>
        <w:rPr>
          <w:rFonts w:eastAsia="Times New Roman" w:cs="Arial"/>
          <w:lang w:eastAsia="es-GT"/>
        </w:rPr>
      </w:pPr>
      <w:r w:rsidRPr="007223FB">
        <w:rPr>
          <w:rFonts w:eastAsia="Times New Roman" w:cs="Arial"/>
          <w:lang w:eastAsia="es-GT"/>
        </w:rPr>
        <w:t>El Ministerio de Economía inicio con un presupuesto de Q. 403.35 millones, reflejó un monto vigente de Q. 405.35 millones, de ello consiguió en el segundo cuatrimestre, una ejecución de Q.  107.19 millones, equivalente a un porcentaje de 26.45% y un acumulado de 57.16%.</w:t>
      </w:r>
    </w:p>
    <w:p w:rsidR="00C7398E" w:rsidRPr="007223FB" w:rsidRDefault="00C7398E"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de Educación</w:t>
      </w:r>
      <w:r w:rsidR="001924CB" w:rsidRPr="007223FB">
        <w:rPr>
          <w:b/>
          <w:lang w:val="es-ES" w:eastAsia="es-GT"/>
        </w:rPr>
        <w:t xml:space="preserve"> –MINEDUC-</w:t>
      </w:r>
    </w:p>
    <w:p w:rsidR="00897F25" w:rsidRPr="007223FB" w:rsidRDefault="00897F25" w:rsidP="00881D85">
      <w:pPr>
        <w:autoSpaceDE w:val="0"/>
        <w:autoSpaceDN w:val="0"/>
        <w:adjustRightInd w:val="0"/>
        <w:spacing w:before="120" w:after="120" w:line="240" w:lineRule="auto"/>
        <w:rPr>
          <w:rFonts w:cs="Candara"/>
        </w:rPr>
      </w:pPr>
      <w:r w:rsidRPr="007223FB">
        <w:rPr>
          <w:rFonts w:cs="Candara"/>
        </w:rPr>
        <w:t>En lo que respecta a los resultados institucionales, la producción del Mineduc está orientada a dar respuesta a los indicadores de cuatro resultados que son:</w:t>
      </w:r>
    </w:p>
    <w:p w:rsidR="00897F25" w:rsidRPr="007223FB" w:rsidRDefault="00897F25" w:rsidP="000B07D9">
      <w:pPr>
        <w:pStyle w:val="Prrafodelista"/>
        <w:numPr>
          <w:ilvl w:val="0"/>
          <w:numId w:val="3"/>
        </w:numPr>
        <w:autoSpaceDE w:val="0"/>
        <w:autoSpaceDN w:val="0"/>
        <w:adjustRightInd w:val="0"/>
        <w:spacing w:before="120" w:after="120" w:line="240" w:lineRule="auto"/>
        <w:contextualSpacing w:val="0"/>
        <w:rPr>
          <w:rFonts w:cs="Candara"/>
        </w:rPr>
      </w:pPr>
      <w:r w:rsidRPr="007223FB">
        <w:rPr>
          <w:rFonts w:cs="Candara"/>
        </w:rPr>
        <w:t>RI1. “Para el 2019 se ha incrementado la tasa de promoción a nivel medio ciclo básico del sector oficial de 72.9% en el 2018 a 73.8% en el 2019”; con nueve productos de los cuales definen la atención a 208,600 estudiantes del nivel medio básico. Para el segundo cuatrimestre presentan un avance significativo del 46.28% en lo relativo “alumnos y alumnas del ciclo básico beneficiados con bolsas de estudio”.</w:t>
      </w:r>
    </w:p>
    <w:p w:rsidR="00897F25" w:rsidRPr="007223FB" w:rsidRDefault="00897F25" w:rsidP="000B07D9">
      <w:pPr>
        <w:pStyle w:val="Prrafodelista"/>
        <w:numPr>
          <w:ilvl w:val="0"/>
          <w:numId w:val="3"/>
        </w:numPr>
        <w:autoSpaceDE w:val="0"/>
        <w:autoSpaceDN w:val="0"/>
        <w:adjustRightInd w:val="0"/>
        <w:spacing w:before="120" w:after="120" w:line="240" w:lineRule="auto"/>
        <w:contextualSpacing w:val="0"/>
        <w:rPr>
          <w:rFonts w:cs="Candara"/>
        </w:rPr>
      </w:pPr>
      <w:r w:rsidRPr="007223FB">
        <w:rPr>
          <w:rFonts w:cs="Candara"/>
        </w:rPr>
        <w:t>RI2. “Para el 2019 se ha incrementado la tasa de promoción de los estudiantes en el nivel medio ciclo diversificado del sector oficial de 83.0% en el 2018 a 83.1% en el 2019” con 13 productos de los cuales definen la atención para 94,219 estudiantes en las diferentes carreras ofrecidas para el ciclo diversificado. De esta cuenta, el único avance relativo es en el producto “alumnos y alumnas del ciclo diversificado beneficiados con bolsas de estudio y becas escolares” con 56.16% respectivamente.</w:t>
      </w:r>
    </w:p>
    <w:p w:rsidR="00897F25" w:rsidRPr="007223FB" w:rsidRDefault="00897F25" w:rsidP="000B07D9">
      <w:pPr>
        <w:pStyle w:val="Prrafodelista"/>
        <w:numPr>
          <w:ilvl w:val="0"/>
          <w:numId w:val="3"/>
        </w:numPr>
        <w:autoSpaceDE w:val="0"/>
        <w:autoSpaceDN w:val="0"/>
        <w:adjustRightInd w:val="0"/>
        <w:spacing w:before="120" w:after="120" w:line="240" w:lineRule="auto"/>
        <w:contextualSpacing w:val="0"/>
        <w:rPr>
          <w:rFonts w:cs="Candara"/>
        </w:rPr>
      </w:pPr>
      <w:r w:rsidRPr="007223FB">
        <w:rPr>
          <w:rFonts w:cs="Candara"/>
        </w:rPr>
        <w:t xml:space="preserve">RI3. “Para el 2023 se ha incrementado la atención a niños con desarrollo integral temprano en 86 puntos porcentuales de 30.0% en 2019 a 11.6% en 2023”: se cuenta con el producto destinado a la atención de niños de primera infancia atendidos en aprendizaje temprano para 4,225 niños con avance del 0% en lo que va del año. </w:t>
      </w:r>
    </w:p>
    <w:p w:rsidR="00897F25" w:rsidRPr="007223FB" w:rsidRDefault="00897F25" w:rsidP="000B07D9">
      <w:pPr>
        <w:pStyle w:val="Prrafodelista"/>
        <w:numPr>
          <w:ilvl w:val="0"/>
          <w:numId w:val="3"/>
        </w:numPr>
        <w:autoSpaceDE w:val="0"/>
        <w:autoSpaceDN w:val="0"/>
        <w:adjustRightInd w:val="0"/>
        <w:spacing w:before="120" w:after="120" w:line="240" w:lineRule="auto"/>
        <w:contextualSpacing w:val="0"/>
        <w:rPr>
          <w:rFonts w:cs="Candara"/>
        </w:rPr>
      </w:pPr>
      <w:r w:rsidRPr="007223FB">
        <w:rPr>
          <w:rFonts w:cs="Candara"/>
        </w:rPr>
        <w:t xml:space="preserve">S/R. Producción sin resultado: “Educación extraescolar” Este proceso se sustenta en programas específicos como “Núcleos Familiares Educativos para el Desarrollo (NUFED) y </w:t>
      </w:r>
      <w:r w:rsidRPr="007223FB">
        <w:rPr>
          <w:rFonts w:cs="Candara"/>
        </w:rPr>
        <w:lastRenderedPageBreak/>
        <w:t xml:space="preserve">el programa de Educación Primaria a distancia para adultos (PEDA), el programa de Centros Municipales de Capacitación y Formación Humana atendidos en áreas técnico laborales, (CEMUCAF) y el programa de Modalidades Flexibles, todos estos programas tienen definida una población a atender durante el ejercicio 2019, aunque no definen un resultado específico. </w:t>
      </w:r>
    </w:p>
    <w:p w:rsidR="00897F25" w:rsidRPr="007223FB" w:rsidRDefault="00897F25" w:rsidP="00881D85">
      <w:pPr>
        <w:autoSpaceDE w:val="0"/>
        <w:autoSpaceDN w:val="0"/>
        <w:adjustRightInd w:val="0"/>
        <w:spacing w:before="120" w:after="120" w:line="240" w:lineRule="auto"/>
        <w:rPr>
          <w:rFonts w:cs="Candara"/>
          <w:color w:val="000000"/>
        </w:rPr>
      </w:pPr>
      <w:r w:rsidRPr="007223FB">
        <w:rPr>
          <w:rFonts w:cs="Candara"/>
        </w:rPr>
        <w:t>Al Mineduc se le asignó un presupuesto de Q16</w:t>
      </w:r>
      <w:r w:rsidR="001258E0" w:rsidRPr="007223FB">
        <w:rPr>
          <w:rFonts w:cs="Candara"/>
        </w:rPr>
        <w:t>, 530.59</w:t>
      </w:r>
      <w:r w:rsidRPr="007223FB">
        <w:rPr>
          <w:rFonts w:cs="Candara"/>
        </w:rPr>
        <w:t xml:space="preserve"> millones en cual asciende a un vigente de Q16</w:t>
      </w:r>
      <w:r w:rsidR="001258E0" w:rsidRPr="007223FB">
        <w:rPr>
          <w:rFonts w:cs="Candara"/>
        </w:rPr>
        <w:t>, 761.45</w:t>
      </w:r>
      <w:r w:rsidRPr="007223FB">
        <w:rPr>
          <w:rFonts w:cs="Candara"/>
        </w:rPr>
        <w:t xml:space="preserve"> respectivamente. En el segundo cuatrimestre ejecuta Q 5,540.18 millones lo que equivale a un 33.05%, y un acumulado de Q10.81 millones equivalentes a 64.51% en lo que va del año</w:t>
      </w:r>
    </w:p>
    <w:p w:rsidR="00897F25" w:rsidRPr="00765ACE" w:rsidRDefault="00897F25" w:rsidP="00765ACE">
      <w:pPr>
        <w:pStyle w:val="Ttulo5"/>
        <w:numPr>
          <w:ilvl w:val="0"/>
          <w:numId w:val="0"/>
        </w:numPr>
        <w:ind w:left="1008"/>
        <w:rPr>
          <w:rFonts w:ascii="Candara" w:hAnsi="Candara"/>
          <w:b/>
          <w:color w:val="auto"/>
          <w:sz w:val="18"/>
        </w:rPr>
      </w:pPr>
      <w:bookmarkStart w:id="110" w:name="_Toc19527397"/>
      <w:r w:rsidRPr="00765ACE">
        <w:rPr>
          <w:rFonts w:ascii="Candara" w:hAnsi="Candara"/>
          <w:b/>
          <w:color w:val="auto"/>
          <w:sz w:val="18"/>
        </w:rPr>
        <w:t xml:space="preserve">Gráfica </w:t>
      </w:r>
      <w:r w:rsidR="00D4642F">
        <w:rPr>
          <w:rFonts w:ascii="Candara" w:hAnsi="Candara"/>
          <w:b/>
          <w:color w:val="auto"/>
          <w:sz w:val="18"/>
        </w:rPr>
        <w:t>14</w:t>
      </w:r>
      <w:r w:rsidR="00D4642F">
        <w:rPr>
          <w:rFonts w:ascii="Candara" w:hAnsi="Candara"/>
          <w:b/>
          <w:color w:val="auto"/>
          <w:sz w:val="18"/>
        </w:rPr>
        <w:br/>
      </w:r>
      <w:r w:rsidRPr="00765ACE">
        <w:rPr>
          <w:rFonts w:ascii="Candara" w:hAnsi="Candara"/>
          <w:b/>
          <w:color w:val="auto"/>
          <w:sz w:val="18"/>
        </w:rPr>
        <w:t>Ejecución Presupuestaria del Ministerio de Educación</w:t>
      </w:r>
      <w:r w:rsidR="00D4642F">
        <w:rPr>
          <w:rFonts w:ascii="Candara" w:hAnsi="Candara"/>
          <w:b/>
          <w:color w:val="auto"/>
          <w:sz w:val="18"/>
        </w:rPr>
        <w:br/>
      </w:r>
      <w:r w:rsidRPr="00765ACE">
        <w:rPr>
          <w:rFonts w:ascii="Candara" w:hAnsi="Candara"/>
          <w:b/>
          <w:color w:val="auto"/>
          <w:sz w:val="18"/>
        </w:rPr>
        <w:t>Segundo cuatrimestre mayo – agosto 2019</w:t>
      </w:r>
      <w:r w:rsidR="00D4642F">
        <w:rPr>
          <w:rFonts w:ascii="Candara" w:hAnsi="Candara"/>
          <w:b/>
          <w:color w:val="auto"/>
          <w:sz w:val="18"/>
        </w:rPr>
        <w:br/>
      </w:r>
      <w:r w:rsidRPr="00765ACE">
        <w:rPr>
          <w:rFonts w:ascii="Candara" w:hAnsi="Candara"/>
          <w:b/>
          <w:color w:val="auto"/>
          <w:sz w:val="18"/>
        </w:rPr>
        <w:t>En millones de Quetzales</w:t>
      </w:r>
      <w:bookmarkEnd w:id="110"/>
    </w:p>
    <w:p w:rsidR="00897F25" w:rsidRPr="007223FB" w:rsidRDefault="00897F25" w:rsidP="00897F25">
      <w:pPr>
        <w:autoSpaceDE w:val="0"/>
        <w:autoSpaceDN w:val="0"/>
        <w:adjustRightInd w:val="0"/>
        <w:spacing w:after="0" w:line="240" w:lineRule="auto"/>
        <w:jc w:val="center"/>
        <w:rPr>
          <w:rFonts w:cs="Candara,Bold"/>
          <w:b/>
          <w:bCs/>
          <w:color w:val="262626"/>
        </w:rPr>
      </w:pPr>
      <w:r w:rsidRPr="007223FB">
        <w:rPr>
          <w:noProof/>
          <w:lang w:eastAsia="es-GT"/>
        </w:rPr>
        <w:drawing>
          <wp:inline distT="0" distB="0" distL="0" distR="0" wp14:anchorId="054A42E5" wp14:editId="0CF4FC0C">
            <wp:extent cx="4857750" cy="2667000"/>
            <wp:effectExtent l="0" t="0" r="0" b="0"/>
            <wp:docPr id="8" name="Gráfico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7F25" w:rsidRPr="003230FB" w:rsidRDefault="004A5DEC" w:rsidP="00897F25">
      <w:pPr>
        <w:spacing w:after="0" w:line="240" w:lineRule="auto"/>
        <w:jc w:val="center"/>
        <w:rPr>
          <w:rFonts w:cs="Candara"/>
          <w:sz w:val="20"/>
        </w:rPr>
      </w:pPr>
      <w:r w:rsidRPr="003230FB">
        <w:rPr>
          <w:rFonts w:cs="Candara"/>
          <w:sz w:val="20"/>
        </w:rPr>
        <w:t>Fuente: Elaboración SEGEPLAN</w:t>
      </w:r>
      <w:r w:rsidR="00897F25" w:rsidRPr="003230FB">
        <w:rPr>
          <w:rFonts w:cs="Candara"/>
          <w:sz w:val="20"/>
        </w:rPr>
        <w:t xml:space="preserve"> con base en datos del </w:t>
      </w:r>
      <w:r w:rsidRPr="003230FB">
        <w:rPr>
          <w:rFonts w:cs="Candara"/>
          <w:sz w:val="20"/>
        </w:rPr>
        <w:t xml:space="preserve">SICOIN </w:t>
      </w:r>
      <w:r w:rsidR="00897F25" w:rsidRPr="003230FB">
        <w:rPr>
          <w:rFonts w:cs="Candara"/>
          <w:sz w:val="20"/>
        </w:rPr>
        <w:t>al 06/09/2019.</w:t>
      </w:r>
    </w:p>
    <w:p w:rsidR="001258E0" w:rsidRPr="007223FB" w:rsidRDefault="001258E0" w:rsidP="000B07D9">
      <w:pPr>
        <w:pStyle w:val="Prrafodelista"/>
        <w:numPr>
          <w:ilvl w:val="0"/>
          <w:numId w:val="5"/>
        </w:numPr>
        <w:spacing w:before="120" w:after="120" w:line="240" w:lineRule="auto"/>
        <w:contextualSpacing w:val="0"/>
        <w:rPr>
          <w:lang w:val="es-ES" w:eastAsia="es-GT"/>
        </w:rPr>
      </w:pPr>
      <w:r w:rsidRPr="007223FB">
        <w:rPr>
          <w:b/>
          <w:lang w:val="es-ES" w:eastAsia="es-GT"/>
        </w:rPr>
        <w:t>Ministerio de Energía y Minas –MEM-</w:t>
      </w:r>
    </w:p>
    <w:p w:rsidR="00626643" w:rsidRPr="007223FB" w:rsidRDefault="00626643" w:rsidP="00881D85">
      <w:pPr>
        <w:spacing w:before="120" w:after="120" w:line="240" w:lineRule="auto"/>
        <w:rPr>
          <w:lang w:val="es-ES" w:eastAsia="es-GT"/>
        </w:rPr>
      </w:pPr>
      <w:r w:rsidRPr="007223FB">
        <w:rPr>
          <w:lang w:val="es-ES" w:eastAsia="es-GT"/>
        </w:rPr>
        <w:t xml:space="preserve">El Ministerio de Energía y </w:t>
      </w:r>
      <w:r w:rsidR="001258E0" w:rsidRPr="007223FB">
        <w:rPr>
          <w:lang w:val="es-ES" w:eastAsia="es-GT"/>
        </w:rPr>
        <w:t>Minas además</w:t>
      </w:r>
      <w:r w:rsidRPr="007223FB">
        <w:rPr>
          <w:lang w:val="es-ES" w:eastAsia="es-GT"/>
        </w:rPr>
        <w:t xml:space="preserve"> de su contribución al REP 14 de Aumento de la Participación de la Energía Renovable en la Matriz Energética y en su calidad como ente rector del sector energético y minero del país, resume su planificación y control de su quehacer para el año 2019, en cinco Resultados Institucionales –RI- de la siguiente manera: </w:t>
      </w:r>
    </w:p>
    <w:p w:rsidR="00626643" w:rsidRPr="007223FB" w:rsidRDefault="00626643" w:rsidP="00881D85">
      <w:pPr>
        <w:spacing w:before="120" w:after="120" w:line="240" w:lineRule="auto"/>
        <w:rPr>
          <w:lang w:val="es-ES" w:eastAsia="es-GT"/>
        </w:rPr>
      </w:pPr>
      <w:r w:rsidRPr="007223FB">
        <w:rPr>
          <w:lang w:val="es-ES" w:eastAsia="es-GT"/>
        </w:rPr>
        <w:t xml:space="preserve">RI1 “Para 2023 se incrementan en 20% los diagnósticos socioeconómicos y ambientales de los proyectos en gestión, en los sectores energéticos minero e hidrocarburos de 0% en el 2019 a 20% en el 2023”. En este resultado se plantean los productos relacionados a diálogos y participación comunitaria para impulsar proyectos con enfoque de desarrollo sostenible. Al segundo cuatrimestre se tiene un avance financiero de 23.3% (Q. 1.88 millones) y un avance físico de 11.60% equivalentes en la realización de 19 eventos. Sin embargo la unidad de medida no evidencia a la población objetivo, por lo que no es posible verificar el impacto del resultado como tal. </w:t>
      </w:r>
    </w:p>
    <w:p w:rsidR="00626643" w:rsidRPr="007223FB" w:rsidRDefault="00626643" w:rsidP="00881D85">
      <w:pPr>
        <w:spacing w:before="120" w:after="120" w:line="240" w:lineRule="auto"/>
        <w:rPr>
          <w:lang w:val="es-ES" w:eastAsia="es-GT"/>
        </w:rPr>
      </w:pPr>
      <w:r w:rsidRPr="007223FB">
        <w:rPr>
          <w:lang w:val="es-ES" w:eastAsia="es-GT"/>
        </w:rPr>
        <w:t xml:space="preserve">RI2 “Para el 2022 se incrementarán en un 10% las inspecciones a personas individuales y jurídicas que utilizan equipos generadores de radiaciones y fuentes radiactivas de 2% en 2019 a 10% en 2022”. Presenta un avance financiero al segundo cuatrimestre de 44.50% (Q. 0.91 millones) y un avance físico de 59.23% equivalentes en realizar 105 eventos. Sin embargo este producto no describe el </w:t>
      </w:r>
      <w:r w:rsidRPr="007223FB">
        <w:rPr>
          <w:lang w:val="es-ES" w:eastAsia="es-GT"/>
        </w:rPr>
        <w:lastRenderedPageBreak/>
        <w:t xml:space="preserve">número de personas favorecidas, sino el número de inspecciones y dictámenes, por lo que no puede evidenciarse el impacto que tiene el resultado. </w:t>
      </w:r>
    </w:p>
    <w:p w:rsidR="00626643" w:rsidRPr="007223FB" w:rsidRDefault="00626643" w:rsidP="00881D85">
      <w:pPr>
        <w:spacing w:before="120" w:after="120" w:line="240" w:lineRule="auto"/>
        <w:rPr>
          <w:lang w:val="es-ES" w:eastAsia="es-GT"/>
        </w:rPr>
      </w:pPr>
      <w:r w:rsidRPr="007223FB">
        <w:rPr>
          <w:lang w:val="es-ES" w:eastAsia="es-GT"/>
        </w:rPr>
        <w:t xml:space="preserve">RI3 “Para el 2022 se incrementarán los análisis de laboratorio para beneficio de empresas privadas, personas individuales y entidades del estado, en 10% de 6% en 2018 a 16% en 2022”. El cual presenta un avance financiero al segundo cuatrimestre de 47.36% (Q. 0.41 millones) y un avance físico de 78.02% equivalentes en realizar 17,589 análisis de laboratorio. En cuanto a este resultado, se tiene un avance superior en la meta física respecto a la financiera, por lo que pueda que no se esté entregando el producto con la calidad que se había programado, es necesario verificar la entrega del mismo.  </w:t>
      </w:r>
    </w:p>
    <w:p w:rsidR="00626643" w:rsidRPr="007223FB" w:rsidRDefault="00626643" w:rsidP="00881D85">
      <w:pPr>
        <w:spacing w:before="120" w:after="120" w:line="240" w:lineRule="auto"/>
        <w:rPr>
          <w:lang w:val="es-ES" w:eastAsia="es-GT"/>
        </w:rPr>
      </w:pPr>
      <w:r w:rsidRPr="007223FB">
        <w:rPr>
          <w:lang w:val="es-ES" w:eastAsia="es-GT"/>
        </w:rPr>
        <w:t xml:space="preserve">RI4 “Para el 2022 se incrementarán las supervisiones a derechos mineros vigentes e ilegales, por denuncia en 10% para beneficio de la población, de 2% en 2018 a 10% en 2022”. Y RI5 “Para el 2023 se ha incrementado el control en la cadena de comercialización de los productos derivados del petróleo en 25% para beneficiar a la población en general. De 5% en 2019 a 25% en 20232”. Para estos dos resultados, no se cuenta con un indicador en donde se pueda medir el impacto que tiene en la prestación de los productos que los integran, de esa forma poder ver en el resultado de comercialización por ejemplo, la disminución del contrabando en la cadena de comercialización de hidrocarburos. </w:t>
      </w:r>
    </w:p>
    <w:p w:rsidR="00626643" w:rsidRPr="007223FB" w:rsidRDefault="00626643" w:rsidP="00881D85">
      <w:pPr>
        <w:spacing w:before="120" w:after="120" w:line="240" w:lineRule="auto"/>
        <w:rPr>
          <w:lang w:eastAsia="es-GT"/>
        </w:rPr>
      </w:pPr>
      <w:r w:rsidRPr="007223FB">
        <w:rPr>
          <w:lang w:eastAsia="es-GT"/>
        </w:rPr>
        <w:t xml:space="preserve">La asignación presupuestaria inicial del MEM para el 2019 ha sido de Q. 80.99 millones, la cual sufrió un incremento de Q. 3.00 millones, lo que representa un presupuesto vigente al segundo cuatrimestre de Q. 83.99 millones. En el segundo cuatrimestre el MEM ejecutó Q. 24.65 millones que equivale a un 29.35% de ejecución, teniendo una brecha de ejecución financiera para el último cuatrimestre de Q 38.58 millones, como se puede observar en la gráfica siguiente. </w:t>
      </w:r>
    </w:p>
    <w:p w:rsidR="00626643" w:rsidRPr="00765ACE" w:rsidRDefault="00985E6E" w:rsidP="00985E6E">
      <w:pPr>
        <w:pStyle w:val="Ttulo5"/>
        <w:numPr>
          <w:ilvl w:val="0"/>
          <w:numId w:val="0"/>
        </w:numPr>
        <w:ind w:left="1008"/>
        <w:rPr>
          <w:rFonts w:ascii="Candara" w:hAnsi="Candara"/>
          <w:b/>
          <w:color w:val="auto"/>
          <w:sz w:val="18"/>
        </w:rPr>
      </w:pPr>
      <w:bookmarkStart w:id="111" w:name="_Toc19527398"/>
      <w:r w:rsidRPr="007223FB">
        <w:rPr>
          <w:noProof/>
        </w:rPr>
        <w:drawing>
          <wp:anchor distT="0" distB="0" distL="114300" distR="114300" simplePos="0" relativeHeight="251658240" behindDoc="1" locked="0" layoutInCell="1" allowOverlap="1" wp14:anchorId="2D761C52" wp14:editId="272945F7">
            <wp:simplePos x="0" y="0"/>
            <wp:positionH relativeFrom="page">
              <wp:posOffset>2743200</wp:posOffset>
            </wp:positionH>
            <wp:positionV relativeFrom="paragraph">
              <wp:posOffset>967740</wp:posOffset>
            </wp:positionV>
            <wp:extent cx="3234690" cy="2033270"/>
            <wp:effectExtent l="0" t="0" r="3810" b="508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58" t="8068" r="9145" b="9092"/>
                    <a:stretch/>
                  </pic:blipFill>
                  <pic:spPr bwMode="auto">
                    <a:xfrm>
                      <a:off x="0" y="0"/>
                      <a:ext cx="3234690"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643" w:rsidRPr="00765ACE">
        <w:rPr>
          <w:rFonts w:ascii="Candara" w:hAnsi="Candara"/>
          <w:b/>
          <w:color w:val="auto"/>
          <w:sz w:val="18"/>
        </w:rPr>
        <w:t xml:space="preserve">Gráfica </w:t>
      </w:r>
      <w:r w:rsidR="00D4642F">
        <w:rPr>
          <w:rFonts w:ascii="Candara" w:hAnsi="Candara"/>
          <w:b/>
          <w:color w:val="auto"/>
          <w:sz w:val="18"/>
        </w:rPr>
        <w:t>15</w:t>
      </w:r>
      <w:r w:rsidR="00D4642F">
        <w:rPr>
          <w:rFonts w:ascii="Candara" w:hAnsi="Candara"/>
          <w:b/>
          <w:color w:val="auto"/>
          <w:sz w:val="18"/>
        </w:rPr>
        <w:br/>
      </w:r>
      <w:r w:rsidR="00626643" w:rsidRPr="00765ACE">
        <w:rPr>
          <w:rFonts w:ascii="Candara" w:hAnsi="Candara"/>
          <w:b/>
          <w:color w:val="auto"/>
          <w:sz w:val="18"/>
        </w:rPr>
        <w:t>Ejecución presupuestaria</w:t>
      </w:r>
      <w:r w:rsidR="00D4642F">
        <w:rPr>
          <w:rFonts w:ascii="Candara" w:hAnsi="Candara"/>
          <w:b/>
          <w:color w:val="auto"/>
          <w:sz w:val="18"/>
        </w:rPr>
        <w:br/>
      </w:r>
      <w:r w:rsidR="00626643" w:rsidRPr="00765ACE">
        <w:rPr>
          <w:rFonts w:ascii="Candara" w:hAnsi="Candara"/>
          <w:b/>
          <w:color w:val="auto"/>
          <w:sz w:val="18"/>
        </w:rPr>
        <w:t>Ministerio de Energía y Minas</w:t>
      </w:r>
      <w:r w:rsidR="00D4642F">
        <w:rPr>
          <w:rFonts w:ascii="Candara" w:hAnsi="Candara"/>
          <w:b/>
          <w:color w:val="auto"/>
          <w:sz w:val="18"/>
        </w:rPr>
        <w:br/>
      </w:r>
      <w:r w:rsidR="00626643" w:rsidRPr="00765ACE">
        <w:rPr>
          <w:rFonts w:ascii="Candara" w:hAnsi="Candara"/>
          <w:b/>
          <w:color w:val="auto"/>
          <w:sz w:val="18"/>
        </w:rPr>
        <w:t>Ejercicio Fiscal 2do Cuatrimestre 2019</w:t>
      </w:r>
      <w:r w:rsidR="00D4642F">
        <w:rPr>
          <w:rFonts w:ascii="Candara" w:hAnsi="Candara"/>
          <w:b/>
          <w:color w:val="auto"/>
          <w:sz w:val="18"/>
        </w:rPr>
        <w:br/>
      </w:r>
      <w:r w:rsidR="00626643" w:rsidRPr="00765ACE">
        <w:rPr>
          <w:rFonts w:ascii="Candara" w:hAnsi="Candara"/>
          <w:b/>
          <w:color w:val="auto"/>
          <w:sz w:val="18"/>
        </w:rPr>
        <w:t>En millones de Q</w:t>
      </w:r>
      <w:bookmarkEnd w:id="111"/>
    </w:p>
    <w:p w:rsidR="00626643" w:rsidRPr="003230FB" w:rsidRDefault="00626643" w:rsidP="00626643">
      <w:pPr>
        <w:tabs>
          <w:tab w:val="center" w:pos="4362"/>
        </w:tabs>
        <w:spacing w:after="0" w:line="240" w:lineRule="auto"/>
        <w:jc w:val="center"/>
        <w:rPr>
          <w:rFonts w:eastAsia="Times New Roman" w:cs="Times New Roman"/>
          <w:b/>
          <w:i/>
          <w:sz w:val="20"/>
          <w:szCs w:val="18"/>
          <w:lang w:val="es-ES" w:eastAsia="zh-CN"/>
        </w:rPr>
      </w:pPr>
      <w:r w:rsidRPr="003230FB">
        <w:rPr>
          <w:rFonts w:eastAsia="Calibri" w:cs="Times New Roman"/>
          <w:sz w:val="20"/>
          <w:szCs w:val="18"/>
        </w:rPr>
        <w:t>Fuente: Elaboración SEGEP</w:t>
      </w:r>
      <w:r w:rsidR="004A5DEC" w:rsidRPr="003230FB">
        <w:rPr>
          <w:rFonts w:eastAsia="Calibri" w:cs="Times New Roman"/>
          <w:sz w:val="20"/>
          <w:szCs w:val="18"/>
        </w:rPr>
        <w:t>LAN con base en datos del SICOIN</w:t>
      </w:r>
      <w:r w:rsidRPr="003230FB">
        <w:rPr>
          <w:rFonts w:eastAsia="Calibri" w:cs="Times New Roman"/>
          <w:sz w:val="20"/>
          <w:szCs w:val="18"/>
        </w:rPr>
        <w:t xml:space="preserve"> de fecha 5/09/2019.</w:t>
      </w:r>
    </w:p>
    <w:p w:rsidR="00985E6E" w:rsidRDefault="00985E6E">
      <w:pPr>
        <w:jc w:val="left"/>
        <w:rPr>
          <w:b/>
          <w:lang w:val="es-ES" w:eastAsia="es-GT"/>
        </w:rPr>
      </w:pPr>
      <w:r>
        <w:rPr>
          <w:b/>
          <w:lang w:val="es-ES" w:eastAsia="es-GT"/>
        </w:rPr>
        <w:br w:type="page"/>
      </w:r>
    </w:p>
    <w:p w:rsidR="00B77E42" w:rsidRPr="007223FB" w:rsidRDefault="00B77E42"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Ministerio de Finanzas Públicas</w:t>
      </w:r>
      <w:r w:rsidR="00685E72" w:rsidRPr="007223FB">
        <w:rPr>
          <w:b/>
          <w:lang w:val="es-ES" w:eastAsia="es-GT"/>
        </w:rPr>
        <w:t xml:space="preserve"> –MINFIN-</w:t>
      </w:r>
    </w:p>
    <w:p w:rsidR="00685E72" w:rsidRPr="007223FB" w:rsidRDefault="00685E72" w:rsidP="003303E4">
      <w:pPr>
        <w:autoSpaceDE w:val="0"/>
        <w:autoSpaceDN w:val="0"/>
        <w:adjustRightInd w:val="0"/>
        <w:spacing w:before="120" w:after="120" w:line="240" w:lineRule="auto"/>
        <w:rPr>
          <w:rFonts w:cs="Candara"/>
        </w:rPr>
      </w:pPr>
      <w:r w:rsidRPr="007223FB">
        <w:rPr>
          <w:rFonts w:cs="Candara"/>
        </w:rPr>
        <w:t xml:space="preserve">El Ministerio de Finanzas Públicas (MINFIN) a quien le corresponde hacer cumplir las acciones relacionadas con el régimen jurídico hacendario del Estado, incluyendo la formulación de la política fiscal, administración de los ingresos fiscales, gestión de financiamiento interno y externo, ejecución presupuestaria y registro, control y administración de los bienes que constituyen el patrimonio del Estado.  </w:t>
      </w:r>
    </w:p>
    <w:p w:rsidR="00685E72" w:rsidRPr="007223FB" w:rsidRDefault="00685E72" w:rsidP="003303E4">
      <w:pPr>
        <w:autoSpaceDE w:val="0"/>
        <w:autoSpaceDN w:val="0"/>
        <w:adjustRightInd w:val="0"/>
        <w:spacing w:before="120" w:after="120" w:line="240" w:lineRule="auto"/>
        <w:rPr>
          <w:rFonts w:cs="Candara"/>
        </w:rPr>
      </w:pPr>
      <w:r w:rsidRPr="007223FB">
        <w:rPr>
          <w:rFonts w:cs="Candara"/>
        </w:rPr>
        <w:t>El Minfin ha definido dos Resultados Institucionales RI1 “Para el 2019 la implementación de la Gestión por Resultados se ha incrementado en 24 por ciento en los gobiernos locales” y RI2: “Para el 2019 el MINFIN ha logrado implementar en un 85 por ciento del Plan de Gobierno Abierto y el Portal de Transparencia Fiscal”.</w:t>
      </w:r>
    </w:p>
    <w:p w:rsidR="00685E72" w:rsidRPr="007223FB" w:rsidRDefault="00685E72" w:rsidP="003303E4">
      <w:pPr>
        <w:autoSpaceDE w:val="0"/>
        <w:autoSpaceDN w:val="0"/>
        <w:adjustRightInd w:val="0"/>
        <w:spacing w:before="120" w:after="120" w:line="240" w:lineRule="auto"/>
        <w:rPr>
          <w:rFonts w:cs="Candara"/>
          <w:highlight w:val="yellow"/>
        </w:rPr>
      </w:pPr>
      <w:r w:rsidRPr="007223FB">
        <w:rPr>
          <w:rFonts w:cs="Candara"/>
        </w:rPr>
        <w:t>Para el segundo cuatrimestre y el acumulado a agosto del 2019, el MINFIN registra una ejecución de metas físicas y financieras para sus productos de acuerdo a lo programado en el POA 2019, a excepción del producto “Proveedores precalificados e inscritos en el Registro General de Adquisiciones del Estado”, el cual tenía una meta inicial de 26,181 persona de meta física y  Q4.9 millones de meta financiera y que tuvo un incremento a 115,200 de meta física y  a Q12.59 millones de la meta financiera durante el segundo cuatrimestre del 2019, en el periodo de mayo a agosto registra una ejecución de la meta física de 7.61%  y  10.96 %  de la meta financiera,  y en el periodo de enero a  agosto se registra una ejecución acumulada de 21.04% de la meta física y 22.88% de la meta financiera. Esperan cumplir las metas físicas y financieras de este producto en el tercer cuatrimestre 2019.</w:t>
      </w:r>
    </w:p>
    <w:p w:rsidR="00685E72" w:rsidRPr="007223FB" w:rsidRDefault="00685E72" w:rsidP="003303E4">
      <w:pPr>
        <w:autoSpaceDE w:val="0"/>
        <w:autoSpaceDN w:val="0"/>
        <w:adjustRightInd w:val="0"/>
        <w:spacing w:before="120" w:after="120" w:line="240" w:lineRule="auto"/>
        <w:rPr>
          <w:rFonts w:cs="Candara"/>
        </w:rPr>
      </w:pPr>
      <w:r w:rsidRPr="007223FB">
        <w:rPr>
          <w:rFonts w:cs="Candara"/>
        </w:rPr>
        <w:t>Para el ejercicio fiscal 2019, al MINFIN le fue asignado un presupuesto de Q381.24 millones el cual tuvo un incremento de Q7.76 millones en el segundo cuatrimestre, por lo que el presupuesto vigente a agosto 2019 fue de Q389.0 millones. La ejecución de mayo a agosto fue de Q100.94 millones equivalente al 25.95% de avance y la ejecución acumulada de enero a agosto fue de Q191.01 millones equivalente al 49.10%.</w:t>
      </w:r>
    </w:p>
    <w:p w:rsidR="00685E72" w:rsidRPr="00765ACE" w:rsidRDefault="00985E6E" w:rsidP="00765ACE">
      <w:pPr>
        <w:pStyle w:val="Ttulo5"/>
        <w:numPr>
          <w:ilvl w:val="0"/>
          <w:numId w:val="0"/>
        </w:numPr>
        <w:ind w:left="1008"/>
        <w:rPr>
          <w:rFonts w:ascii="Candara" w:hAnsi="Candara"/>
          <w:b/>
          <w:color w:val="auto"/>
          <w:sz w:val="18"/>
        </w:rPr>
      </w:pPr>
      <w:bookmarkStart w:id="112" w:name="_Toc19527399"/>
      <w:r>
        <w:rPr>
          <w:rFonts w:ascii="Candara" w:hAnsi="Candara"/>
          <w:b/>
          <w:color w:val="auto"/>
          <w:sz w:val="18"/>
        </w:rPr>
        <w:t>Gráfica 16</w:t>
      </w:r>
      <w:r>
        <w:rPr>
          <w:rFonts w:ascii="Candara" w:hAnsi="Candara"/>
          <w:b/>
          <w:color w:val="auto"/>
          <w:sz w:val="18"/>
        </w:rPr>
        <w:br/>
      </w:r>
      <w:r w:rsidR="00685E72" w:rsidRPr="00765ACE">
        <w:rPr>
          <w:rFonts w:ascii="Candara" w:hAnsi="Candara"/>
          <w:b/>
          <w:color w:val="auto"/>
          <w:sz w:val="18"/>
        </w:rPr>
        <w:t>Ejecución Presupuestaría</w:t>
      </w:r>
      <w:r>
        <w:rPr>
          <w:rFonts w:ascii="Candara" w:hAnsi="Candara"/>
          <w:b/>
          <w:color w:val="auto"/>
          <w:sz w:val="18"/>
        </w:rPr>
        <w:br/>
      </w:r>
      <w:r w:rsidR="00685E72" w:rsidRPr="00765ACE">
        <w:rPr>
          <w:rFonts w:ascii="Candara" w:hAnsi="Candara"/>
          <w:b/>
          <w:color w:val="auto"/>
          <w:sz w:val="18"/>
        </w:rPr>
        <w:t>Ministerio de Finanzas Públicas</w:t>
      </w:r>
      <w:r>
        <w:rPr>
          <w:rFonts w:ascii="Candara" w:hAnsi="Candara"/>
          <w:b/>
          <w:color w:val="auto"/>
          <w:sz w:val="18"/>
        </w:rPr>
        <w:br/>
      </w:r>
      <w:r w:rsidR="00685E72" w:rsidRPr="00765ACE">
        <w:rPr>
          <w:rFonts w:ascii="Candara" w:hAnsi="Candara"/>
          <w:b/>
          <w:color w:val="auto"/>
          <w:sz w:val="18"/>
        </w:rPr>
        <w:t>Ejercicio Fiscal 2do Cuatrimestre 2019</w:t>
      </w:r>
      <w:r>
        <w:rPr>
          <w:rFonts w:ascii="Candara" w:hAnsi="Candara"/>
          <w:b/>
          <w:color w:val="auto"/>
          <w:sz w:val="18"/>
        </w:rPr>
        <w:br/>
      </w:r>
      <w:r w:rsidR="00685E72" w:rsidRPr="00765ACE">
        <w:rPr>
          <w:rFonts w:ascii="Candara" w:hAnsi="Candara"/>
          <w:b/>
          <w:color w:val="auto"/>
          <w:sz w:val="18"/>
        </w:rPr>
        <w:t>En millones de Q</w:t>
      </w:r>
      <w:bookmarkEnd w:id="112"/>
    </w:p>
    <w:p w:rsidR="00685E72" w:rsidRPr="007223FB" w:rsidRDefault="00685E72" w:rsidP="00685E72">
      <w:pPr>
        <w:autoSpaceDE w:val="0"/>
        <w:autoSpaceDN w:val="0"/>
        <w:adjustRightInd w:val="0"/>
        <w:spacing w:after="0"/>
        <w:jc w:val="center"/>
        <w:rPr>
          <w:rFonts w:cs="Candara"/>
          <w:noProof/>
          <w:lang w:eastAsia="es-GT"/>
        </w:rPr>
      </w:pPr>
      <w:r w:rsidRPr="007223FB">
        <w:rPr>
          <w:rFonts w:cs="Candara"/>
          <w:noProof/>
          <w:lang w:eastAsia="es-GT"/>
        </w:rPr>
        <w:drawing>
          <wp:inline distT="0" distB="0" distL="0" distR="0" wp14:anchorId="756DD5D7" wp14:editId="11B19364">
            <wp:extent cx="4523454" cy="2590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85F33.tmp"/>
                    <pic:cNvPicPr/>
                  </pic:nvPicPr>
                  <pic:blipFill>
                    <a:blip r:embed="rId27">
                      <a:extLst>
                        <a:ext uri="{28A0092B-C50C-407E-A947-70E740481C1C}">
                          <a14:useLocalDpi xmlns:a14="http://schemas.microsoft.com/office/drawing/2010/main" val="0"/>
                        </a:ext>
                      </a:extLst>
                    </a:blip>
                    <a:stretch>
                      <a:fillRect/>
                    </a:stretch>
                  </pic:blipFill>
                  <pic:spPr>
                    <a:xfrm>
                      <a:off x="0" y="0"/>
                      <a:ext cx="4529335" cy="2594169"/>
                    </a:xfrm>
                    <a:prstGeom prst="rect">
                      <a:avLst/>
                    </a:prstGeom>
                  </pic:spPr>
                </pic:pic>
              </a:graphicData>
            </a:graphic>
          </wp:inline>
        </w:drawing>
      </w:r>
    </w:p>
    <w:p w:rsidR="00685E72" w:rsidRPr="003230FB" w:rsidRDefault="004A5DEC" w:rsidP="00685E72">
      <w:pPr>
        <w:jc w:val="center"/>
        <w:rPr>
          <w:rFonts w:cs="Candara"/>
          <w:sz w:val="20"/>
          <w:szCs w:val="18"/>
        </w:rPr>
      </w:pPr>
      <w:r w:rsidRPr="003230FB">
        <w:rPr>
          <w:rFonts w:cs="Candara"/>
          <w:sz w:val="20"/>
          <w:szCs w:val="18"/>
        </w:rPr>
        <w:t>Fuente: Elaboración SEGEPLAN con base en datos del SICOIN</w:t>
      </w:r>
      <w:r w:rsidR="00685E72" w:rsidRPr="003230FB">
        <w:rPr>
          <w:rFonts w:cs="Candara"/>
          <w:sz w:val="20"/>
          <w:szCs w:val="18"/>
        </w:rPr>
        <w:t xml:space="preserve"> al 05/09/2019</w:t>
      </w:r>
    </w:p>
    <w:p w:rsidR="00C7398E" w:rsidRPr="007223FB" w:rsidRDefault="00C7398E" w:rsidP="000B07D9">
      <w:pPr>
        <w:pStyle w:val="Prrafodelista"/>
        <w:numPr>
          <w:ilvl w:val="0"/>
          <w:numId w:val="5"/>
        </w:numPr>
        <w:rPr>
          <w:b/>
          <w:lang w:val="es-ES" w:eastAsia="es-GT"/>
        </w:rPr>
      </w:pPr>
      <w:r w:rsidRPr="007223FB">
        <w:rPr>
          <w:b/>
          <w:lang w:val="es-ES" w:eastAsia="es-GT"/>
        </w:rPr>
        <w:lastRenderedPageBreak/>
        <w:t>Ministerio de Gobernación</w:t>
      </w:r>
      <w:r w:rsidR="00685E72" w:rsidRPr="007223FB">
        <w:rPr>
          <w:b/>
          <w:lang w:val="es-ES" w:eastAsia="es-GT"/>
        </w:rPr>
        <w:t xml:space="preserve"> –MINGOB-</w:t>
      </w:r>
    </w:p>
    <w:p w:rsidR="00E8736E" w:rsidRPr="007223FB" w:rsidRDefault="00A008E9" w:rsidP="00A008E9">
      <w:pPr>
        <w:rPr>
          <w:lang w:eastAsia="es-GT"/>
        </w:rPr>
      </w:pPr>
      <w:r w:rsidRPr="007223FB">
        <w:rPr>
          <w:lang w:eastAsia="es-GT"/>
        </w:rPr>
        <w:t>El Ministerio de Gobernación (MINGOB) es el responsable de mantener la paz, el orden público, la seguridad de las personas y sus bienes, la garantía de sus derechos, la reducción de los Índices de criminalidad, la disminución de la violencia, la ejecución de las ordenes y resoluciones judiciales, el régimen migratorio y administrar el sistema penitenciario, entre otros. Para el cumplimiento de su misión, el ministerio cuenta con un presupuesto vigente de Q 5,344.82 millones de los cuales en este cuatrimestre ejecuto Q 1,471.10 millones que equivalen a un 27.52%, como se observa en la gráfica siguiente, el monto pendiente de ejecutar es de  Q 2,533.88 millones.</w:t>
      </w:r>
    </w:p>
    <w:p w:rsidR="00A008E9" w:rsidRPr="00F25114" w:rsidRDefault="00765ACE" w:rsidP="00765ACE">
      <w:pPr>
        <w:pStyle w:val="Ttulo5"/>
        <w:numPr>
          <w:ilvl w:val="0"/>
          <w:numId w:val="0"/>
        </w:numPr>
        <w:ind w:left="1008"/>
        <w:rPr>
          <w:rFonts w:eastAsia="Calibri" w:cs="Times-New-Roman"/>
          <w:b/>
          <w:sz w:val="20"/>
        </w:rPr>
      </w:pPr>
      <w:bookmarkStart w:id="113" w:name="_Toc19527400"/>
      <w:r w:rsidRPr="00F25114">
        <w:rPr>
          <w:noProof/>
          <w:sz w:val="20"/>
        </w:rPr>
        <w:drawing>
          <wp:anchor distT="0" distB="0" distL="114300" distR="114300" simplePos="0" relativeHeight="251726848" behindDoc="1" locked="0" layoutInCell="1" allowOverlap="1">
            <wp:simplePos x="0" y="0"/>
            <wp:positionH relativeFrom="margin">
              <wp:align>center</wp:align>
            </wp:positionH>
            <wp:positionV relativeFrom="paragraph">
              <wp:posOffset>939174</wp:posOffset>
            </wp:positionV>
            <wp:extent cx="4351655" cy="2543175"/>
            <wp:effectExtent l="0" t="0" r="0" b="952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1655" cy="2543175"/>
                    </a:xfrm>
                    <a:prstGeom prst="rect">
                      <a:avLst/>
                    </a:prstGeom>
                    <a:noFill/>
                  </pic:spPr>
                </pic:pic>
              </a:graphicData>
            </a:graphic>
          </wp:anchor>
        </w:drawing>
      </w:r>
      <w:r w:rsidR="00A008E9" w:rsidRPr="00765ACE">
        <w:rPr>
          <w:rFonts w:ascii="Candara" w:hAnsi="Candara"/>
          <w:b/>
          <w:color w:val="auto"/>
          <w:sz w:val="18"/>
        </w:rPr>
        <w:t xml:space="preserve">Gráfica </w:t>
      </w:r>
      <w:r w:rsidR="00985E6E">
        <w:rPr>
          <w:rFonts w:ascii="Candara" w:hAnsi="Candara"/>
          <w:b/>
          <w:color w:val="auto"/>
          <w:sz w:val="18"/>
        </w:rPr>
        <w:t>17</w:t>
      </w:r>
      <w:r>
        <w:rPr>
          <w:rFonts w:ascii="Candara" w:hAnsi="Candara"/>
          <w:b/>
          <w:color w:val="auto"/>
          <w:sz w:val="18"/>
        </w:rPr>
        <w:br/>
      </w:r>
      <w:r w:rsidR="00A008E9" w:rsidRPr="00765ACE">
        <w:rPr>
          <w:rFonts w:ascii="Candara" w:hAnsi="Candara"/>
          <w:b/>
          <w:color w:val="auto"/>
          <w:sz w:val="18"/>
        </w:rPr>
        <w:t>Ejecución presupuestaria</w:t>
      </w:r>
      <w:r>
        <w:rPr>
          <w:rFonts w:ascii="Candara" w:hAnsi="Candara"/>
          <w:b/>
          <w:color w:val="auto"/>
          <w:sz w:val="18"/>
        </w:rPr>
        <w:br/>
      </w:r>
      <w:r w:rsidR="00A008E9" w:rsidRPr="00765ACE">
        <w:rPr>
          <w:rFonts w:ascii="Candara" w:hAnsi="Candara"/>
          <w:b/>
          <w:color w:val="auto"/>
          <w:sz w:val="18"/>
        </w:rPr>
        <w:t>Ministerio de Gobernación</w:t>
      </w:r>
      <w:r>
        <w:rPr>
          <w:rFonts w:ascii="Candara" w:hAnsi="Candara"/>
          <w:b/>
          <w:color w:val="auto"/>
          <w:sz w:val="18"/>
        </w:rPr>
        <w:br/>
      </w:r>
      <w:r w:rsidR="00A008E9" w:rsidRPr="00765ACE">
        <w:rPr>
          <w:rFonts w:ascii="Candara" w:hAnsi="Candara"/>
          <w:b/>
          <w:color w:val="auto"/>
          <w:sz w:val="18"/>
        </w:rPr>
        <w:t>Ejercicio Fiscal 2do Cuatrimestre 2019</w:t>
      </w:r>
      <w:r>
        <w:rPr>
          <w:rFonts w:ascii="Candara" w:hAnsi="Candara"/>
          <w:b/>
          <w:color w:val="auto"/>
          <w:sz w:val="18"/>
        </w:rPr>
        <w:br/>
      </w:r>
      <w:r w:rsidR="00A008E9" w:rsidRPr="00765ACE">
        <w:rPr>
          <w:rFonts w:ascii="Candara" w:hAnsi="Candara"/>
          <w:b/>
          <w:color w:val="auto"/>
          <w:sz w:val="18"/>
        </w:rPr>
        <w:t>En millones de Q</w:t>
      </w:r>
      <w:bookmarkEnd w:id="113"/>
    </w:p>
    <w:p w:rsidR="004A5DEC" w:rsidRPr="007223FB" w:rsidRDefault="004A5DEC" w:rsidP="00A008E9">
      <w:pPr>
        <w:autoSpaceDE w:val="0"/>
        <w:autoSpaceDN w:val="0"/>
        <w:adjustRightInd w:val="0"/>
        <w:spacing w:after="0"/>
        <w:jc w:val="center"/>
        <w:rPr>
          <w:rFonts w:eastAsia="Calibri" w:cs="Times-New-Roman"/>
          <w:b/>
        </w:rPr>
      </w:pPr>
    </w:p>
    <w:p w:rsidR="00A008E9" w:rsidRPr="00F25114" w:rsidRDefault="00A008E9" w:rsidP="00685E72">
      <w:pPr>
        <w:jc w:val="center"/>
        <w:rPr>
          <w:b/>
          <w:i/>
          <w:sz w:val="18"/>
          <w:lang w:val="es-ES" w:eastAsia="es-GT"/>
        </w:rPr>
      </w:pPr>
      <w:r w:rsidRPr="00F25114">
        <w:rPr>
          <w:sz w:val="18"/>
          <w:lang w:eastAsia="es-GT"/>
        </w:rPr>
        <w:t>Fuente: Elaboración SEGEP</w:t>
      </w:r>
      <w:r w:rsidR="004A5DEC" w:rsidRPr="00F25114">
        <w:rPr>
          <w:sz w:val="18"/>
          <w:lang w:eastAsia="es-GT"/>
        </w:rPr>
        <w:t>LAN con base en datos del SICOIN</w:t>
      </w:r>
      <w:r w:rsidRPr="00F25114">
        <w:rPr>
          <w:sz w:val="18"/>
          <w:lang w:eastAsia="es-GT"/>
        </w:rPr>
        <w:t xml:space="preserve"> de fecha 5/09/2019.</w:t>
      </w:r>
    </w:p>
    <w:p w:rsidR="00147243" w:rsidRPr="007223FB" w:rsidRDefault="00147243" w:rsidP="003303E4">
      <w:pPr>
        <w:spacing w:before="120" w:after="120" w:line="240" w:lineRule="auto"/>
        <w:rPr>
          <w:lang w:val="es-ES" w:eastAsia="es-GT"/>
        </w:rPr>
      </w:pPr>
      <w:r w:rsidRPr="007223FB">
        <w:rPr>
          <w:lang w:val="es-ES" w:eastAsia="es-GT"/>
        </w:rPr>
        <w:t xml:space="preserve">El Ministerio de Gobernación  reporta información de avance para  el siguiente resultado institucional. </w:t>
      </w:r>
      <w:r w:rsidRPr="007223FB">
        <w:rPr>
          <w:b/>
          <w:lang w:val="es-ES" w:eastAsia="es-GT"/>
        </w:rPr>
        <w:t xml:space="preserve">Reducir en 13 puntos la tasa de incidencia criminal  a nivel nacional, de 133  en 2018 a 120 en 2019. </w:t>
      </w:r>
      <w:r w:rsidRPr="007223FB">
        <w:rPr>
          <w:lang w:val="es-ES" w:eastAsia="es-GT"/>
        </w:rPr>
        <w:t xml:space="preserve"> El avance que evidencian en este resultado  da cuenta de una tasa  en este segundo cuatrimestre de 32.72, la baja de la incidencia criminal  muestra un promedio a la baja de 8.18 por cada 100 mil habitantes en este periodo.</w:t>
      </w:r>
    </w:p>
    <w:p w:rsidR="00B47AEE" w:rsidRPr="007223FB" w:rsidRDefault="00B47AEE" w:rsidP="003303E4">
      <w:pPr>
        <w:spacing w:before="120" w:after="120" w:line="240" w:lineRule="auto"/>
        <w:rPr>
          <w:lang w:eastAsia="es-GT"/>
        </w:rPr>
      </w:pPr>
      <w:r w:rsidRPr="007223FB">
        <w:rPr>
          <w:lang w:val="es-ES" w:eastAsia="es-GT"/>
        </w:rPr>
        <w:t xml:space="preserve">Se alerta sobre la baja ejecución física y financiera de los siguientes productos: </w:t>
      </w:r>
      <w:r w:rsidRPr="007223FB">
        <w:rPr>
          <w:lang w:eastAsia="es-GT"/>
        </w:rPr>
        <w:t>Grupos organizados de la sociedad civil con asistencia técnica en organización comunitaria en apoyo a la Política Nacional de Prevención de la Violencia y el Delito, Jóvenes con participación en actividades de prevención de la violencia, Seguridad preventiva y del delito, Seguridad policial, Combate a la narcoactividad</w:t>
      </w:r>
    </w:p>
    <w:p w:rsidR="00B47AEE" w:rsidRPr="003303E4" w:rsidRDefault="00344084" w:rsidP="003303E4">
      <w:pPr>
        <w:spacing w:before="120" w:after="120" w:line="240" w:lineRule="auto"/>
        <w:rPr>
          <w:b/>
          <w:lang w:eastAsia="es-GT"/>
        </w:rPr>
      </w:pPr>
      <w:r w:rsidRPr="003303E4">
        <w:rPr>
          <w:b/>
          <w:lang w:eastAsia="es-GT"/>
        </w:rPr>
        <w:t>Desafíos</w:t>
      </w:r>
    </w:p>
    <w:p w:rsidR="00B30B81" w:rsidRPr="007223FB" w:rsidRDefault="00344084" w:rsidP="003303E4">
      <w:pPr>
        <w:spacing w:before="120" w:after="120" w:line="240" w:lineRule="auto"/>
        <w:rPr>
          <w:lang w:eastAsia="es-GT"/>
        </w:rPr>
      </w:pPr>
      <w:r w:rsidRPr="007223FB">
        <w:rPr>
          <w:lang w:eastAsia="es-GT"/>
        </w:rPr>
        <w:t xml:space="preserve">Se insta a los responsables de la ejecución de los productos en alerta y la consecución de los resultados comprometidos a tomar las medidas administrativas y técnicas necesarias que permitan alcanzar lo planificado, los productos que muestran problema impactan directamente sobre la </w:t>
      </w:r>
      <w:r w:rsidRPr="007223FB">
        <w:rPr>
          <w:lang w:eastAsia="es-GT"/>
        </w:rPr>
        <w:lastRenderedPageBreak/>
        <w:t>calidad del servicio que recibe la ciudadanía, la percepción de seguridad que se tiene y el sentimiento de seguridad.</w:t>
      </w:r>
    </w:p>
    <w:p w:rsidR="00E55728" w:rsidRPr="007223FB" w:rsidRDefault="00E55728" w:rsidP="000B07D9">
      <w:pPr>
        <w:pStyle w:val="Prrafodelista"/>
        <w:numPr>
          <w:ilvl w:val="0"/>
          <w:numId w:val="5"/>
        </w:numPr>
        <w:spacing w:before="120" w:after="120" w:line="240" w:lineRule="auto"/>
        <w:contextualSpacing w:val="0"/>
        <w:rPr>
          <w:b/>
          <w:lang w:eastAsia="es-GT"/>
        </w:rPr>
      </w:pPr>
      <w:r w:rsidRPr="007223FB">
        <w:rPr>
          <w:b/>
          <w:lang w:eastAsia="es-GT"/>
        </w:rPr>
        <w:t>Ministerio de la Defensa Nacional –MINDEF-</w:t>
      </w:r>
    </w:p>
    <w:p w:rsidR="0026770B" w:rsidRPr="007223FB" w:rsidRDefault="000A283C" w:rsidP="003303E4">
      <w:pPr>
        <w:spacing w:before="120" w:after="120" w:line="240" w:lineRule="auto"/>
        <w:rPr>
          <w:bCs/>
          <w:lang w:eastAsia="es-GT"/>
        </w:rPr>
      </w:pPr>
      <w:r w:rsidRPr="007223FB">
        <w:rPr>
          <w:lang w:val="es-ES" w:eastAsia="es-GT"/>
        </w:rPr>
        <w:t>Ministerio de l</w:t>
      </w:r>
      <w:r w:rsidR="00C7398E" w:rsidRPr="007223FB">
        <w:rPr>
          <w:lang w:val="es-ES" w:eastAsia="es-GT"/>
        </w:rPr>
        <w:t>a Defensa Nacional</w:t>
      </w:r>
      <w:r w:rsidR="0026770B" w:rsidRPr="007223FB">
        <w:rPr>
          <w:lang w:val="es-ES" w:eastAsia="es-GT"/>
        </w:rPr>
        <w:t xml:space="preserve"> </w:t>
      </w:r>
      <w:r w:rsidR="0026770B" w:rsidRPr="007223FB">
        <w:rPr>
          <w:lang w:eastAsia="es-GT"/>
        </w:rPr>
        <w:t xml:space="preserve">como ente responsable de la soberanía y de la integridad del territorio nacional; resguarda y protege las fronteras; organiza y administra los servicios militares establecidos por ley; contrarresta las amenazas tradicionales y emergentes.  Para el cumplimiento de su misión le fue asignado un presupuesto vigente </w:t>
      </w:r>
      <w:r w:rsidR="00C147A0" w:rsidRPr="007223FB">
        <w:rPr>
          <w:lang w:eastAsia="es-GT"/>
        </w:rPr>
        <w:t>de Q</w:t>
      </w:r>
      <w:r w:rsidR="0026770B" w:rsidRPr="007223FB">
        <w:rPr>
          <w:bCs/>
          <w:lang w:eastAsia="es-GT"/>
        </w:rPr>
        <w:t xml:space="preserve">  2,651.52</w:t>
      </w:r>
      <w:r w:rsidR="0026770B" w:rsidRPr="007223FB">
        <w:rPr>
          <w:b/>
          <w:bCs/>
          <w:lang w:eastAsia="es-GT"/>
        </w:rPr>
        <w:t xml:space="preserve">  </w:t>
      </w:r>
      <w:r w:rsidR="0026770B" w:rsidRPr="007223FB">
        <w:rPr>
          <w:bCs/>
          <w:lang w:eastAsia="es-GT"/>
        </w:rPr>
        <w:t xml:space="preserve">millones, de los cuales ejecuto en este segundo cuatrimestre Q  780.48 millones, que equivalen a  29.44%. El monto pendiente a ejecutar es de </w:t>
      </w:r>
      <w:r w:rsidR="00E55728" w:rsidRPr="007223FB">
        <w:rPr>
          <w:bCs/>
          <w:lang w:eastAsia="es-GT"/>
        </w:rPr>
        <w:t>Q 1,237.60</w:t>
      </w:r>
      <w:r w:rsidR="0026770B" w:rsidRPr="007223FB">
        <w:rPr>
          <w:b/>
          <w:bCs/>
          <w:lang w:eastAsia="es-GT"/>
        </w:rPr>
        <w:t xml:space="preserve"> </w:t>
      </w:r>
      <w:r w:rsidR="0026770B" w:rsidRPr="007223FB">
        <w:rPr>
          <w:bCs/>
          <w:lang w:eastAsia="es-GT"/>
        </w:rPr>
        <w:t xml:space="preserve">millones como se observa en la </w:t>
      </w:r>
      <w:r w:rsidR="00E55728" w:rsidRPr="007223FB">
        <w:rPr>
          <w:bCs/>
          <w:lang w:eastAsia="es-GT"/>
        </w:rPr>
        <w:t>gráfica</w:t>
      </w:r>
      <w:r w:rsidR="0026770B" w:rsidRPr="007223FB">
        <w:rPr>
          <w:bCs/>
          <w:lang w:eastAsia="es-GT"/>
        </w:rPr>
        <w:t xml:space="preserve"> siguiente:</w:t>
      </w:r>
    </w:p>
    <w:p w:rsidR="007A7670" w:rsidRPr="00F25114" w:rsidRDefault="00985E6E" w:rsidP="00985E6E">
      <w:pPr>
        <w:autoSpaceDE w:val="0"/>
        <w:autoSpaceDN w:val="0"/>
        <w:adjustRightInd w:val="0"/>
        <w:spacing w:after="0"/>
        <w:jc w:val="center"/>
        <w:rPr>
          <w:bCs/>
          <w:sz w:val="18"/>
          <w:szCs w:val="18"/>
          <w:lang w:eastAsia="es-GT"/>
        </w:rPr>
      </w:pPr>
      <w:r w:rsidRPr="00985E6E">
        <w:rPr>
          <w:rFonts w:eastAsiaTheme="majorEastAsia" w:cstheme="majorBidi"/>
          <w:b/>
          <w:caps/>
          <w:noProof/>
          <w:spacing w:val="10"/>
          <w:sz w:val="18"/>
          <w:lang w:eastAsia="es-GT"/>
        </w:rPr>
        <w:drawing>
          <wp:anchor distT="0" distB="0" distL="114300" distR="114300" simplePos="0" relativeHeight="251650048" behindDoc="0" locked="0" layoutInCell="1" allowOverlap="1" wp14:anchorId="79FB321F" wp14:editId="34BECB0B">
            <wp:simplePos x="0" y="0"/>
            <wp:positionH relativeFrom="column">
              <wp:posOffset>653548</wp:posOffset>
            </wp:positionH>
            <wp:positionV relativeFrom="paragraph">
              <wp:posOffset>835452</wp:posOffset>
            </wp:positionV>
            <wp:extent cx="4610100" cy="2638425"/>
            <wp:effectExtent l="0" t="0" r="0" b="9525"/>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26770B" w:rsidRPr="00765ACE">
        <w:rPr>
          <w:rFonts w:eastAsiaTheme="majorEastAsia" w:cstheme="majorBidi"/>
          <w:b/>
          <w:caps/>
          <w:spacing w:val="10"/>
          <w:sz w:val="18"/>
          <w:lang w:eastAsia="es-GT"/>
        </w:rPr>
        <w:t xml:space="preserve">Gráfica </w:t>
      </w:r>
      <w:r>
        <w:rPr>
          <w:rFonts w:eastAsiaTheme="majorEastAsia" w:cstheme="majorBidi"/>
          <w:b/>
          <w:caps/>
          <w:spacing w:val="10"/>
          <w:sz w:val="18"/>
          <w:lang w:eastAsia="es-GT"/>
        </w:rPr>
        <w:t>18</w:t>
      </w:r>
      <w:r>
        <w:rPr>
          <w:rFonts w:eastAsiaTheme="majorEastAsia" w:cstheme="majorBidi"/>
          <w:b/>
          <w:caps/>
          <w:spacing w:val="10"/>
          <w:sz w:val="18"/>
          <w:lang w:eastAsia="es-GT"/>
        </w:rPr>
        <w:br/>
      </w:r>
      <w:r w:rsidR="0026770B" w:rsidRPr="00765ACE">
        <w:rPr>
          <w:rFonts w:eastAsiaTheme="majorEastAsia" w:cstheme="majorBidi"/>
          <w:b/>
          <w:caps/>
          <w:spacing w:val="10"/>
          <w:sz w:val="18"/>
          <w:lang w:eastAsia="es-GT"/>
        </w:rPr>
        <w:t>Ejecución presupuestaria</w:t>
      </w:r>
      <w:r>
        <w:rPr>
          <w:rFonts w:eastAsiaTheme="majorEastAsia" w:cstheme="majorBidi"/>
          <w:b/>
          <w:caps/>
          <w:spacing w:val="10"/>
          <w:sz w:val="18"/>
          <w:lang w:eastAsia="es-GT"/>
        </w:rPr>
        <w:br/>
      </w:r>
      <w:r w:rsidR="0026770B" w:rsidRPr="00765ACE">
        <w:rPr>
          <w:rFonts w:eastAsiaTheme="majorEastAsia" w:cstheme="majorBidi"/>
          <w:b/>
          <w:caps/>
          <w:spacing w:val="10"/>
          <w:sz w:val="18"/>
          <w:lang w:eastAsia="es-GT"/>
        </w:rPr>
        <w:t>Ministerio de la Defesa Nacional</w:t>
      </w:r>
      <w:r>
        <w:rPr>
          <w:rFonts w:eastAsiaTheme="majorEastAsia" w:cstheme="majorBidi"/>
          <w:b/>
          <w:caps/>
          <w:spacing w:val="10"/>
          <w:sz w:val="18"/>
          <w:lang w:eastAsia="es-GT"/>
        </w:rPr>
        <w:br/>
      </w:r>
      <w:r w:rsidRPr="00985E6E">
        <w:rPr>
          <w:rFonts w:eastAsiaTheme="majorEastAsia" w:cstheme="majorBidi"/>
          <w:b/>
          <w:caps/>
          <w:spacing w:val="10"/>
          <w:sz w:val="18"/>
          <w:lang w:eastAsia="es-GT"/>
        </w:rPr>
        <w:t>EJERCICIO FISCAL 2DO CUATRIMESTRE 2019</w:t>
      </w:r>
      <w:r>
        <w:rPr>
          <w:rFonts w:eastAsiaTheme="majorEastAsia" w:cstheme="majorBidi"/>
          <w:b/>
          <w:caps/>
          <w:spacing w:val="10"/>
          <w:sz w:val="18"/>
          <w:lang w:eastAsia="es-GT"/>
        </w:rPr>
        <w:br/>
      </w:r>
      <w:r w:rsidRPr="00985E6E">
        <w:rPr>
          <w:rFonts w:eastAsiaTheme="majorEastAsia" w:cstheme="majorBidi"/>
          <w:b/>
          <w:caps/>
          <w:spacing w:val="10"/>
          <w:sz w:val="18"/>
          <w:lang w:eastAsia="es-GT"/>
        </w:rPr>
        <w:t>EN MILLONES DE Q</w:t>
      </w:r>
      <w:r>
        <w:rPr>
          <w:rFonts w:eastAsiaTheme="majorEastAsia" w:cstheme="majorBidi"/>
          <w:b/>
          <w:caps/>
          <w:spacing w:val="10"/>
          <w:sz w:val="18"/>
          <w:lang w:eastAsia="es-GT"/>
        </w:rPr>
        <w:br/>
      </w:r>
      <w:r w:rsidR="007A7670" w:rsidRPr="00F25114">
        <w:rPr>
          <w:bCs/>
          <w:sz w:val="18"/>
          <w:szCs w:val="18"/>
          <w:lang w:eastAsia="es-GT"/>
        </w:rPr>
        <w:t>Fuente: Elaboración SEGEP</w:t>
      </w:r>
      <w:r w:rsidR="004A5DEC" w:rsidRPr="00F25114">
        <w:rPr>
          <w:bCs/>
          <w:sz w:val="18"/>
          <w:szCs w:val="18"/>
          <w:lang w:eastAsia="es-GT"/>
        </w:rPr>
        <w:t>LAN con base en datos del SICOIN</w:t>
      </w:r>
      <w:r w:rsidR="007A7670" w:rsidRPr="00F25114">
        <w:rPr>
          <w:bCs/>
          <w:sz w:val="18"/>
          <w:szCs w:val="18"/>
          <w:lang w:eastAsia="es-GT"/>
        </w:rPr>
        <w:t xml:space="preserve"> de fecha 5/09/2019.</w:t>
      </w:r>
    </w:p>
    <w:p w:rsidR="0037626C" w:rsidRPr="007223FB" w:rsidRDefault="0037626C" w:rsidP="003303E4">
      <w:pPr>
        <w:spacing w:before="120" w:after="120" w:line="240" w:lineRule="auto"/>
        <w:rPr>
          <w:bCs/>
          <w:lang w:val="es-ES" w:eastAsia="es-GT"/>
        </w:rPr>
      </w:pPr>
      <w:r w:rsidRPr="007223FB">
        <w:rPr>
          <w:bCs/>
          <w:lang w:val="es-ES" w:eastAsia="es-GT"/>
        </w:rPr>
        <w:t>El Ministerio de la Defensa Nacional no define resultados institucionales, por lo tanto el análisis de calidad de gasto no puede contemplar el alcance de resultados de acuerdo a la misión institucional. De la producción reportada no se emiten alertas sobre la</w:t>
      </w:r>
      <w:r w:rsidR="00EB2F04">
        <w:rPr>
          <w:bCs/>
          <w:lang w:val="es-ES" w:eastAsia="es-GT"/>
        </w:rPr>
        <w:t xml:space="preserve"> ejecución física y financiera</w:t>
      </w:r>
      <w:r w:rsidRPr="007223FB">
        <w:rPr>
          <w:bCs/>
          <w:lang w:val="es-ES" w:eastAsia="es-GT"/>
        </w:rPr>
        <w:t>, ya que la ejecución en curso se desarrolla con normalidad de acuerdo a las metas de producto planteadas.</w:t>
      </w:r>
    </w:p>
    <w:p w:rsidR="0037626C" w:rsidRPr="003303E4" w:rsidRDefault="00E55728" w:rsidP="003303E4">
      <w:pPr>
        <w:spacing w:before="120" w:after="120" w:line="240" w:lineRule="auto"/>
        <w:rPr>
          <w:b/>
          <w:bCs/>
          <w:lang w:val="es-ES" w:eastAsia="es-GT"/>
        </w:rPr>
      </w:pPr>
      <w:r w:rsidRPr="003303E4">
        <w:rPr>
          <w:b/>
          <w:bCs/>
          <w:lang w:val="es-ES" w:eastAsia="es-GT"/>
        </w:rPr>
        <w:t>Desafíos</w:t>
      </w:r>
    </w:p>
    <w:p w:rsidR="0037626C" w:rsidRPr="007223FB" w:rsidRDefault="0037626C" w:rsidP="003303E4">
      <w:pPr>
        <w:spacing w:before="120" w:after="120" w:line="240" w:lineRule="auto"/>
        <w:rPr>
          <w:bCs/>
          <w:lang w:val="es-ES" w:eastAsia="es-GT"/>
        </w:rPr>
      </w:pPr>
      <w:r w:rsidRPr="007223FB">
        <w:rPr>
          <w:bCs/>
          <w:lang w:val="es-ES" w:eastAsia="es-GT"/>
        </w:rPr>
        <w:t xml:space="preserve">Es importante que para dar cumplimiento a lo establecido en la Ley </w:t>
      </w:r>
      <w:r w:rsidR="00E55728" w:rsidRPr="007223FB">
        <w:rPr>
          <w:bCs/>
          <w:lang w:val="es-ES" w:eastAsia="es-GT"/>
        </w:rPr>
        <w:t>Orgánica</w:t>
      </w:r>
      <w:r w:rsidRPr="007223FB">
        <w:rPr>
          <w:bCs/>
          <w:lang w:val="es-ES" w:eastAsia="es-GT"/>
        </w:rPr>
        <w:t xml:space="preserve"> del Presupuesto y su Reglamento, se Formulen Resultados Institucionales medibles de acuerdo </w:t>
      </w:r>
      <w:r w:rsidR="00E55728" w:rsidRPr="007223FB">
        <w:rPr>
          <w:bCs/>
          <w:lang w:val="es-ES" w:eastAsia="es-GT"/>
        </w:rPr>
        <w:t>a</w:t>
      </w:r>
      <w:r w:rsidRPr="007223FB">
        <w:rPr>
          <w:bCs/>
          <w:lang w:val="es-ES" w:eastAsia="es-GT"/>
        </w:rPr>
        <w:t xml:space="preserve"> los principios y lineamientos establecidos, con la finalidad de dar cumplimiento a los criterios de calidad del gasto establecido en el </w:t>
      </w:r>
      <w:r w:rsidR="00DE33BD" w:rsidRPr="007223FB">
        <w:rPr>
          <w:bCs/>
          <w:lang w:val="es-ES" w:eastAsia="es-GT"/>
        </w:rPr>
        <w:t>artículo</w:t>
      </w:r>
      <w:r w:rsidRPr="007223FB">
        <w:rPr>
          <w:bCs/>
          <w:lang w:val="es-ES" w:eastAsia="es-GT"/>
        </w:rPr>
        <w:t xml:space="preserve"> 1 de la mencionada Ley.</w:t>
      </w:r>
    </w:p>
    <w:p w:rsidR="00696D1B" w:rsidRPr="007223FB" w:rsidRDefault="00696D1B" w:rsidP="003303E4">
      <w:pPr>
        <w:spacing w:before="120" w:after="120" w:line="240" w:lineRule="auto"/>
        <w:rPr>
          <w:lang w:eastAsia="es-GT"/>
        </w:rPr>
      </w:pPr>
      <w:r w:rsidRPr="007223FB">
        <w:rPr>
          <w:lang w:val="es-ES" w:eastAsia="es-GT"/>
        </w:rPr>
        <w:t xml:space="preserve">El </w:t>
      </w:r>
      <w:r w:rsidR="00C7398E" w:rsidRPr="007223FB">
        <w:rPr>
          <w:lang w:val="es-ES" w:eastAsia="es-GT"/>
        </w:rPr>
        <w:t>Ministerio de Relaciones Exteriores</w:t>
      </w:r>
      <w:r w:rsidRPr="007223FB">
        <w:rPr>
          <w:lang w:val="es-ES" w:eastAsia="es-GT"/>
        </w:rPr>
        <w:t xml:space="preserve"> es el </w:t>
      </w:r>
      <w:r w:rsidRPr="007223FB">
        <w:rPr>
          <w:lang w:eastAsia="es-GT"/>
        </w:rPr>
        <w:t xml:space="preserve"> ente rector de la Política Exterior del Estado de Guatemala, tiene como objetivo estratégico formular las políticas y la aplicación del régimen jurídico relativo a las relaciones del Estado de Guatemala con otros estados, personas e instituciones jurídicas de derecho internacional; de la representación diplomática del Estado; de los asuntos diplomáticos y de atención al migrante y de la demarcación y conservación del límite internacional del territorio nacional. </w:t>
      </w:r>
    </w:p>
    <w:p w:rsidR="00696D1B" w:rsidRPr="007223FB" w:rsidRDefault="00696D1B" w:rsidP="003303E4">
      <w:pPr>
        <w:spacing w:before="120" w:after="120" w:line="240" w:lineRule="auto"/>
        <w:rPr>
          <w:bCs/>
          <w:lang w:eastAsia="es-GT"/>
        </w:rPr>
      </w:pPr>
      <w:r w:rsidRPr="007223FB">
        <w:rPr>
          <w:lang w:eastAsia="es-GT"/>
        </w:rPr>
        <w:lastRenderedPageBreak/>
        <w:t xml:space="preserve">Para el cumplimiento de su misión el MINEX cuenta con un presupuesto vigente de Q 589.71 millones, de los cuales ejecuto durante el segundo cuatrimestre Q 160.89 millones que equivalen a 27.28%. Lo que le resta por ejecutar alcanza un monto de  </w:t>
      </w:r>
      <w:r w:rsidRPr="007223FB">
        <w:rPr>
          <w:bCs/>
          <w:lang w:eastAsia="es-GT"/>
        </w:rPr>
        <w:t>Q  288.84 millones, como puede visualizarse en la gráfica siguiente:</w:t>
      </w:r>
    </w:p>
    <w:p w:rsidR="00696D1B" w:rsidRPr="00985E6E" w:rsidRDefault="00696D1B" w:rsidP="00985E6E">
      <w:pPr>
        <w:pStyle w:val="Ttulo5"/>
        <w:numPr>
          <w:ilvl w:val="0"/>
          <w:numId w:val="0"/>
        </w:numPr>
        <w:ind w:left="1008"/>
        <w:rPr>
          <w:rFonts w:ascii="Candara" w:hAnsi="Candara"/>
          <w:b/>
          <w:color w:val="auto"/>
          <w:sz w:val="18"/>
        </w:rPr>
      </w:pPr>
      <w:bookmarkStart w:id="114" w:name="_Toc19527401"/>
      <w:r w:rsidRPr="00985E6E">
        <w:rPr>
          <w:rFonts w:ascii="Candara" w:hAnsi="Candara"/>
          <w:b/>
          <w:color w:val="auto"/>
          <w:sz w:val="18"/>
        </w:rPr>
        <w:t xml:space="preserve">Gráfica </w:t>
      </w:r>
      <w:r w:rsidR="00985E6E" w:rsidRPr="00985E6E">
        <w:rPr>
          <w:rFonts w:ascii="Candara" w:hAnsi="Candara"/>
          <w:b/>
          <w:color w:val="auto"/>
          <w:sz w:val="18"/>
        </w:rPr>
        <w:t>1</w:t>
      </w:r>
      <w:r w:rsidR="00985E6E">
        <w:rPr>
          <w:rFonts w:ascii="Candara" w:hAnsi="Candara"/>
          <w:b/>
          <w:color w:val="auto"/>
          <w:sz w:val="18"/>
        </w:rPr>
        <w:t>8</w:t>
      </w:r>
      <w:r w:rsidR="00985E6E" w:rsidRPr="00985E6E">
        <w:rPr>
          <w:rFonts w:ascii="Candara" w:hAnsi="Candara"/>
          <w:b/>
          <w:color w:val="auto"/>
          <w:sz w:val="18"/>
        </w:rPr>
        <w:br/>
      </w:r>
      <w:r w:rsidRPr="00985E6E">
        <w:rPr>
          <w:rFonts w:ascii="Candara" w:hAnsi="Candara"/>
          <w:b/>
          <w:color w:val="auto"/>
          <w:sz w:val="18"/>
        </w:rPr>
        <w:t>Ejecución presupuestaria</w:t>
      </w:r>
      <w:r w:rsidR="00985E6E" w:rsidRPr="00985E6E">
        <w:rPr>
          <w:rFonts w:ascii="Candara" w:hAnsi="Candara"/>
          <w:b/>
          <w:color w:val="auto"/>
          <w:sz w:val="18"/>
        </w:rPr>
        <w:br/>
      </w:r>
      <w:r w:rsidRPr="00985E6E">
        <w:rPr>
          <w:rFonts w:ascii="Candara" w:hAnsi="Candara"/>
          <w:b/>
          <w:color w:val="auto"/>
          <w:sz w:val="18"/>
        </w:rPr>
        <w:t>Ministerio de Relaciones Exteriores</w:t>
      </w:r>
      <w:r w:rsidR="00985E6E" w:rsidRPr="00985E6E">
        <w:rPr>
          <w:rFonts w:ascii="Candara" w:hAnsi="Candara"/>
          <w:b/>
          <w:color w:val="auto"/>
          <w:sz w:val="18"/>
        </w:rPr>
        <w:br/>
      </w:r>
      <w:r w:rsidRPr="00985E6E">
        <w:rPr>
          <w:rFonts w:ascii="Candara" w:hAnsi="Candara"/>
          <w:b/>
          <w:color w:val="auto"/>
          <w:sz w:val="18"/>
        </w:rPr>
        <w:t>Ejercicio Fiscal 2do Cuatrimestre 2019</w:t>
      </w:r>
      <w:r w:rsidR="00985E6E">
        <w:rPr>
          <w:rFonts w:ascii="Candara" w:hAnsi="Candara"/>
          <w:b/>
          <w:color w:val="auto"/>
          <w:sz w:val="18"/>
        </w:rPr>
        <w:br/>
      </w:r>
      <w:r w:rsidRPr="00985E6E">
        <w:rPr>
          <w:rFonts w:ascii="Candara" w:hAnsi="Candara"/>
          <w:b/>
          <w:color w:val="auto"/>
          <w:sz w:val="18"/>
        </w:rPr>
        <w:t>En millones de Q</w:t>
      </w:r>
      <w:bookmarkEnd w:id="114"/>
    </w:p>
    <w:p w:rsidR="00696D1B" w:rsidRPr="007223FB" w:rsidRDefault="00696D1B" w:rsidP="00E55728">
      <w:pPr>
        <w:jc w:val="center"/>
        <w:rPr>
          <w:lang w:eastAsia="es-GT"/>
        </w:rPr>
      </w:pPr>
      <w:r w:rsidRPr="007223FB">
        <w:rPr>
          <w:noProof/>
          <w:lang w:eastAsia="es-GT"/>
        </w:rPr>
        <w:drawing>
          <wp:inline distT="0" distB="0" distL="0" distR="0" wp14:anchorId="16804189" wp14:editId="515EE4C2">
            <wp:extent cx="4595458" cy="2686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2697" cy="2690281"/>
                    </a:xfrm>
                    <a:prstGeom prst="rect">
                      <a:avLst/>
                    </a:prstGeom>
                    <a:noFill/>
                  </pic:spPr>
                </pic:pic>
              </a:graphicData>
            </a:graphic>
          </wp:inline>
        </w:drawing>
      </w:r>
    </w:p>
    <w:p w:rsidR="00696D1B" w:rsidRPr="0074598B" w:rsidRDefault="00696D1B" w:rsidP="008A2B69">
      <w:pPr>
        <w:jc w:val="center"/>
        <w:rPr>
          <w:b/>
          <w:bCs/>
          <w:i/>
          <w:sz w:val="18"/>
          <w:szCs w:val="18"/>
          <w:lang w:val="es-ES" w:eastAsia="es-GT"/>
        </w:rPr>
      </w:pPr>
      <w:r w:rsidRPr="0074598B">
        <w:rPr>
          <w:bCs/>
          <w:sz w:val="18"/>
          <w:szCs w:val="18"/>
          <w:lang w:eastAsia="es-GT"/>
        </w:rPr>
        <w:t>Fuente: Elaboración SEGEP</w:t>
      </w:r>
      <w:r w:rsidR="008A2B69" w:rsidRPr="0074598B">
        <w:rPr>
          <w:bCs/>
          <w:sz w:val="18"/>
          <w:szCs w:val="18"/>
          <w:lang w:eastAsia="es-GT"/>
        </w:rPr>
        <w:t>LAN con base en datos del SICOIN</w:t>
      </w:r>
      <w:r w:rsidRPr="0074598B">
        <w:rPr>
          <w:bCs/>
          <w:sz w:val="18"/>
          <w:szCs w:val="18"/>
          <w:lang w:eastAsia="es-GT"/>
        </w:rPr>
        <w:t xml:space="preserve"> de fecha 5/09/2019.</w:t>
      </w:r>
    </w:p>
    <w:p w:rsidR="005A3D5A" w:rsidRPr="007223FB" w:rsidRDefault="005A3D5A" w:rsidP="003303E4">
      <w:pPr>
        <w:spacing w:before="120" w:after="120" w:line="240" w:lineRule="auto"/>
        <w:rPr>
          <w:lang w:val="es-ES" w:eastAsia="es-GT"/>
        </w:rPr>
      </w:pPr>
      <w:r w:rsidRPr="007223FB">
        <w:rPr>
          <w:lang w:val="es-ES" w:eastAsia="es-GT"/>
        </w:rPr>
        <w:t>Para el 2019 se ha incrementado a 23% la cobertura de los servicios consulares y migratorios para los</w:t>
      </w:r>
    </w:p>
    <w:p w:rsidR="00696D1B" w:rsidRPr="007223FB" w:rsidRDefault="00573337" w:rsidP="003303E4">
      <w:pPr>
        <w:spacing w:before="120" w:after="120" w:line="240" w:lineRule="auto"/>
        <w:rPr>
          <w:lang w:val="es-ES" w:eastAsia="es-GT"/>
        </w:rPr>
      </w:pPr>
      <w:r w:rsidRPr="007223FB">
        <w:rPr>
          <w:lang w:val="es-ES" w:eastAsia="es-GT"/>
        </w:rPr>
        <w:t>Guatemaltecos</w:t>
      </w:r>
      <w:r w:rsidR="005A3D5A" w:rsidRPr="007223FB">
        <w:rPr>
          <w:lang w:val="es-ES" w:eastAsia="es-GT"/>
        </w:rPr>
        <w:t xml:space="preserve"> en el exterior e interior del país, reportando un avance cuatrimestral de 13.04, que se enmarca en lo planificado.  </w:t>
      </w:r>
    </w:p>
    <w:p w:rsidR="00573337" w:rsidRPr="003303E4" w:rsidRDefault="00573337" w:rsidP="003303E4">
      <w:pPr>
        <w:spacing w:before="120" w:after="120" w:line="240" w:lineRule="auto"/>
        <w:rPr>
          <w:b/>
          <w:lang w:val="es-ES" w:eastAsia="es-GT"/>
        </w:rPr>
      </w:pPr>
      <w:r w:rsidRPr="003303E4">
        <w:rPr>
          <w:b/>
          <w:lang w:val="es-ES" w:eastAsia="es-GT"/>
        </w:rPr>
        <w:t>Desafíos</w:t>
      </w:r>
    </w:p>
    <w:p w:rsidR="00573337" w:rsidRPr="007223FB" w:rsidRDefault="00573337" w:rsidP="003303E4">
      <w:pPr>
        <w:spacing w:before="120" w:after="120" w:line="240" w:lineRule="auto"/>
        <w:rPr>
          <w:lang w:val="es-ES" w:eastAsia="es-GT"/>
        </w:rPr>
      </w:pPr>
      <w:r w:rsidRPr="007223FB">
        <w:rPr>
          <w:lang w:val="es-ES" w:eastAsia="es-GT"/>
        </w:rPr>
        <w:t xml:space="preserve">El MINEX solamente reporta un resultado institucional, es importante que se definan resultados institucionales medibles de acuerdo a los lineamientos y principios establecidos en la Ley Orgánica del Presupuesto para dar cumplimiento a lo establecido en el artículo 1, sobre planificación institucional. </w:t>
      </w:r>
    </w:p>
    <w:p w:rsidR="00C7398E" w:rsidRPr="007223FB" w:rsidRDefault="00C7398E"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de Salud Pública y Asistencia Social</w:t>
      </w:r>
      <w:r w:rsidR="00E55728" w:rsidRPr="007223FB">
        <w:rPr>
          <w:b/>
          <w:lang w:val="es-ES" w:eastAsia="es-GT"/>
        </w:rPr>
        <w:t xml:space="preserve"> –MSPAS-</w:t>
      </w:r>
    </w:p>
    <w:p w:rsidR="00792BC5" w:rsidRPr="007223FB" w:rsidRDefault="00792BC5" w:rsidP="003303E4">
      <w:pPr>
        <w:autoSpaceDE w:val="0"/>
        <w:autoSpaceDN w:val="0"/>
        <w:adjustRightInd w:val="0"/>
        <w:spacing w:before="120" w:after="120" w:line="240" w:lineRule="auto"/>
      </w:pPr>
      <w:r w:rsidRPr="007223FB">
        <w:t>El MSPAS aporta el ejercicio del derecho a la salud de las y los habitantes del país, ejerce la rectoría del sector salud a través de la conducción, coordinación y regulación de la prestación de servic</w:t>
      </w:r>
      <w:r w:rsidR="00B623F5" w:rsidRPr="007223FB">
        <w:t xml:space="preserve">ios </w:t>
      </w:r>
      <w:r w:rsidRPr="007223FB">
        <w:t xml:space="preserve">de salud, de acuerdo a lo anterior se establece 7 programas de los cuales cuenta con 2 resultados estratégicos para el país (Mortalidad materna y mortalidad en la niñez), 3 resultados institucionales (Tratamiento a las ITS, VIH y SIDA; tuberculosis y malaria) y 2 sin resultados (Fomento de la salud y medicina preventiva e infraestructura en salud). </w:t>
      </w:r>
    </w:p>
    <w:p w:rsidR="00792BC5" w:rsidRPr="007223FB" w:rsidRDefault="00792BC5" w:rsidP="003303E4">
      <w:pPr>
        <w:autoSpaceDE w:val="0"/>
        <w:autoSpaceDN w:val="0"/>
        <w:adjustRightInd w:val="0"/>
        <w:spacing w:before="120" w:after="120" w:line="240" w:lineRule="auto"/>
      </w:pPr>
      <w:r w:rsidRPr="007223FB">
        <w:t xml:space="preserve">Para contribuir a mejorar las condiciones de vida es necesario valorar la prevención de las enfermedades, por ahora, el ministerio tiene el programa de la recuperación de la salud que establece el producto de atención médica por enfermedades transmisibles y enfermedades no </w:t>
      </w:r>
      <w:r w:rsidRPr="007223FB">
        <w:lastRenderedPageBreak/>
        <w:t xml:space="preserve">transmisibles, </w:t>
      </w:r>
      <w:r w:rsidR="00C147A0" w:rsidRPr="007223FB">
        <w:t>el programa</w:t>
      </w:r>
      <w:r w:rsidRPr="007223FB">
        <w:t xml:space="preserve"> cuenta con el mayor presupuesto del ministerio es de Q 3,900.36 millones y ha ejecutado 30.2% para la atención de 11, 101,569 millones personas. </w:t>
      </w:r>
    </w:p>
    <w:p w:rsidR="00792BC5" w:rsidRPr="007223FB" w:rsidRDefault="00792BC5" w:rsidP="003303E4">
      <w:pPr>
        <w:autoSpaceDE w:val="0"/>
        <w:autoSpaceDN w:val="0"/>
        <w:adjustRightInd w:val="0"/>
        <w:spacing w:before="120" w:after="120" w:line="240" w:lineRule="auto"/>
      </w:pPr>
      <w:r w:rsidRPr="007223FB">
        <w:t xml:space="preserve">Por otro lado, el programa de infraestructura en salud, tiene la responsabilidad de la construcción, ampliación y mejoramiento de centros de convergencia, centros y puesto de salud, maternidades periféricas, centros de atención permanente y centro de atención integral materna infantil y hospitales, tiene un monto de Q 118.95 millones y ha ejecutado el 1.06%. </w:t>
      </w:r>
    </w:p>
    <w:p w:rsidR="00792BC5" w:rsidRPr="007223FB" w:rsidRDefault="00792BC5" w:rsidP="003303E4">
      <w:pPr>
        <w:autoSpaceDE w:val="0"/>
        <w:autoSpaceDN w:val="0"/>
        <w:adjustRightInd w:val="0"/>
        <w:spacing w:before="120" w:after="120" w:line="240" w:lineRule="auto"/>
      </w:pPr>
      <w:r w:rsidRPr="007223FB">
        <w:t>La prevención de las enfermedades, acc</w:t>
      </w:r>
      <w:r w:rsidR="00417975" w:rsidRPr="007223FB">
        <w:t>identes y violencia es necesario</w:t>
      </w:r>
      <w:r w:rsidRPr="007223FB">
        <w:t xml:space="preserve"> </w:t>
      </w:r>
      <w:r w:rsidR="00417975" w:rsidRPr="007223FB">
        <w:t xml:space="preserve">para </w:t>
      </w:r>
      <w:r w:rsidRPr="007223FB">
        <w:t xml:space="preserve">aligerar la atención de los hospitales y fortalecer el gasto de la infraestructura, con atención a la transparencia, eficiencia y eficacia a los problemas y demandas de la población guatemalteca. </w:t>
      </w:r>
    </w:p>
    <w:p w:rsidR="00792BC5" w:rsidRPr="007223FB" w:rsidRDefault="00792BC5" w:rsidP="003303E4">
      <w:pPr>
        <w:autoSpaceDE w:val="0"/>
        <w:autoSpaceDN w:val="0"/>
        <w:adjustRightInd w:val="0"/>
        <w:spacing w:before="120" w:after="120" w:line="240" w:lineRule="auto"/>
        <w:rPr>
          <w:rFonts w:eastAsia="Calibri" w:cs="Times New Roman"/>
        </w:rPr>
      </w:pPr>
      <w:r w:rsidRPr="007223FB">
        <w:rPr>
          <w:rFonts w:eastAsia="Calibri" w:cs="Times New Roman"/>
        </w:rPr>
        <w:t xml:space="preserve">Para el segundo cuatrimestre, el MSPAS tiene un presupuesto de Q 8,277.05 millones, ha </w:t>
      </w:r>
      <w:r w:rsidR="00C147A0" w:rsidRPr="007223FB">
        <w:rPr>
          <w:rFonts w:eastAsia="Calibri" w:cs="Times New Roman"/>
        </w:rPr>
        <w:t>ejecutado Q</w:t>
      </w:r>
      <w:r w:rsidRPr="007223FB">
        <w:rPr>
          <w:rFonts w:eastAsia="Calibri" w:cs="Times New Roman"/>
        </w:rPr>
        <w:t xml:space="preserve"> </w:t>
      </w:r>
      <w:r w:rsidRPr="007223FB">
        <w:rPr>
          <w:rFonts w:eastAsia="Calibri" w:cs="Times New Roman"/>
          <w:bCs/>
        </w:rPr>
        <w:t xml:space="preserve">2,637.68 millones que equivale a </w:t>
      </w:r>
      <w:r w:rsidRPr="007223FB">
        <w:rPr>
          <w:rFonts w:eastAsia="Calibri" w:cs="Times New Roman"/>
        </w:rPr>
        <w:t xml:space="preserve">31.87%, falta por ejecutar el 44.97% del presupuesto. </w:t>
      </w:r>
    </w:p>
    <w:p w:rsidR="00792BC5" w:rsidRPr="00985E6E" w:rsidRDefault="00792BC5" w:rsidP="00985E6E">
      <w:pPr>
        <w:pStyle w:val="Ttulo5"/>
        <w:numPr>
          <w:ilvl w:val="0"/>
          <w:numId w:val="0"/>
        </w:numPr>
        <w:ind w:left="1008"/>
        <w:rPr>
          <w:rFonts w:ascii="Candara" w:hAnsi="Candara"/>
          <w:b/>
          <w:color w:val="auto"/>
          <w:sz w:val="18"/>
        </w:rPr>
      </w:pPr>
      <w:bookmarkStart w:id="115" w:name="_Toc19527402"/>
      <w:r w:rsidRPr="00985E6E">
        <w:rPr>
          <w:rFonts w:ascii="Candara" w:hAnsi="Candara"/>
          <w:b/>
          <w:color w:val="auto"/>
          <w:sz w:val="18"/>
        </w:rPr>
        <w:t xml:space="preserve">Gráfica </w:t>
      </w:r>
      <w:r w:rsidR="00985E6E">
        <w:rPr>
          <w:rFonts w:ascii="Candara" w:hAnsi="Candara"/>
          <w:b/>
          <w:color w:val="auto"/>
          <w:sz w:val="18"/>
        </w:rPr>
        <w:t>19</w:t>
      </w:r>
      <w:r w:rsidR="00985E6E">
        <w:rPr>
          <w:rFonts w:ascii="Candara" w:hAnsi="Candara"/>
          <w:b/>
          <w:color w:val="auto"/>
          <w:sz w:val="18"/>
        </w:rPr>
        <w:br/>
      </w:r>
      <w:r w:rsidRPr="00985E6E">
        <w:rPr>
          <w:rFonts w:ascii="Candara" w:hAnsi="Candara"/>
          <w:b/>
          <w:color w:val="auto"/>
          <w:sz w:val="18"/>
        </w:rPr>
        <w:t>Ejecución presupuestaria</w:t>
      </w:r>
      <w:r w:rsidR="00985E6E">
        <w:rPr>
          <w:rFonts w:ascii="Candara" w:hAnsi="Candara"/>
          <w:b/>
          <w:color w:val="auto"/>
          <w:sz w:val="18"/>
        </w:rPr>
        <w:br/>
      </w:r>
      <w:r w:rsidRPr="00985E6E">
        <w:rPr>
          <w:rFonts w:ascii="Candara" w:hAnsi="Candara"/>
          <w:b/>
          <w:color w:val="auto"/>
          <w:sz w:val="18"/>
        </w:rPr>
        <w:t>Ministerio de Salud Pública y Asistencia Social</w:t>
      </w:r>
      <w:r w:rsidR="00985E6E">
        <w:rPr>
          <w:rFonts w:ascii="Candara" w:hAnsi="Candara"/>
          <w:b/>
          <w:color w:val="auto"/>
          <w:sz w:val="18"/>
        </w:rPr>
        <w:br/>
      </w:r>
      <w:r w:rsidRPr="00985E6E">
        <w:rPr>
          <w:rFonts w:ascii="Candara" w:hAnsi="Candara"/>
          <w:b/>
          <w:color w:val="auto"/>
          <w:sz w:val="18"/>
        </w:rPr>
        <w:t>Ejercicio Fiscal 2do Cuatrimestre 2019</w:t>
      </w:r>
      <w:r w:rsidR="00985E6E">
        <w:rPr>
          <w:rFonts w:ascii="Candara" w:hAnsi="Candara"/>
          <w:b/>
          <w:color w:val="auto"/>
          <w:sz w:val="18"/>
        </w:rPr>
        <w:br/>
      </w:r>
      <w:r w:rsidRPr="00985E6E">
        <w:rPr>
          <w:rFonts w:ascii="Candara" w:hAnsi="Candara"/>
          <w:b/>
          <w:color w:val="auto"/>
          <w:sz w:val="18"/>
        </w:rPr>
        <w:t>En millones de quetzales</w:t>
      </w:r>
      <w:bookmarkEnd w:id="115"/>
      <w:r w:rsidRPr="00985E6E">
        <w:rPr>
          <w:rFonts w:ascii="Candara" w:hAnsi="Candara"/>
          <w:b/>
          <w:color w:val="auto"/>
          <w:sz w:val="18"/>
        </w:rPr>
        <w:t xml:space="preserve"> </w:t>
      </w:r>
    </w:p>
    <w:p w:rsidR="00792BC5" w:rsidRPr="007223FB" w:rsidRDefault="00792BC5" w:rsidP="00792BC5">
      <w:pPr>
        <w:jc w:val="center"/>
      </w:pPr>
      <w:r w:rsidRPr="007223FB">
        <w:rPr>
          <w:noProof/>
          <w:lang w:eastAsia="es-GT"/>
        </w:rPr>
        <w:drawing>
          <wp:inline distT="0" distB="0" distL="0" distR="0" wp14:anchorId="407AC4F6" wp14:editId="40E2ED14">
            <wp:extent cx="4527550" cy="2530650"/>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9784" cy="2548667"/>
                    </a:xfrm>
                    <a:prstGeom prst="rect">
                      <a:avLst/>
                    </a:prstGeom>
                    <a:noFill/>
                  </pic:spPr>
                </pic:pic>
              </a:graphicData>
            </a:graphic>
          </wp:inline>
        </w:drawing>
      </w:r>
    </w:p>
    <w:p w:rsidR="00792BC5" w:rsidRPr="0074598B" w:rsidRDefault="00792BC5" w:rsidP="00792BC5">
      <w:pPr>
        <w:tabs>
          <w:tab w:val="center" w:pos="4362"/>
        </w:tabs>
        <w:spacing w:after="0" w:line="240" w:lineRule="auto"/>
        <w:jc w:val="center"/>
        <w:rPr>
          <w:rFonts w:eastAsia="Times New Roman" w:cs="Times New Roman"/>
          <w:b/>
          <w:i/>
          <w:sz w:val="18"/>
          <w:lang w:eastAsia="zh-CN"/>
        </w:rPr>
      </w:pPr>
      <w:r w:rsidRPr="0074598B">
        <w:rPr>
          <w:rFonts w:eastAsia="Calibri" w:cs="Times New Roman"/>
          <w:sz w:val="18"/>
        </w:rPr>
        <w:t>Fuente: Elaboración SEGEPLAN con base en datos del SICOIN de fecha 5/09/2019.</w:t>
      </w:r>
    </w:p>
    <w:p w:rsidR="00A77F4A" w:rsidRPr="007223FB" w:rsidRDefault="003303E4" w:rsidP="003303E4">
      <w:pPr>
        <w:pStyle w:val="Ttulo2"/>
        <w:numPr>
          <w:ilvl w:val="0"/>
          <w:numId w:val="0"/>
        </w:numPr>
        <w:spacing w:before="120" w:after="120" w:line="240" w:lineRule="auto"/>
        <w:ind w:left="936" w:hanging="576"/>
        <w:rPr>
          <w:szCs w:val="22"/>
          <w:lang w:val="es-ES"/>
        </w:rPr>
      </w:pPr>
      <w:bookmarkStart w:id="116" w:name="_Toc19527452"/>
      <w:r>
        <w:rPr>
          <w:szCs w:val="22"/>
          <w:lang w:val="es-ES"/>
        </w:rPr>
        <w:t>5.2</w:t>
      </w:r>
      <w:r>
        <w:rPr>
          <w:szCs w:val="22"/>
          <w:lang w:val="es-ES"/>
        </w:rPr>
        <w:tab/>
      </w:r>
      <w:r w:rsidR="00A77F4A" w:rsidRPr="007223FB">
        <w:rPr>
          <w:szCs w:val="22"/>
          <w:lang w:val="es-ES"/>
        </w:rPr>
        <w:t>Secretarias</w:t>
      </w:r>
      <w:r w:rsidR="009004FA" w:rsidRPr="007223FB">
        <w:rPr>
          <w:szCs w:val="22"/>
          <w:lang w:val="es-ES"/>
        </w:rPr>
        <w:t xml:space="preserve"> y otras instituciones </w:t>
      </w:r>
      <w:r w:rsidR="00F02464" w:rsidRPr="007223FB">
        <w:rPr>
          <w:szCs w:val="22"/>
          <w:lang w:val="es-ES"/>
        </w:rPr>
        <w:t>centra</w:t>
      </w:r>
      <w:r w:rsidR="009004FA" w:rsidRPr="007223FB">
        <w:rPr>
          <w:szCs w:val="22"/>
          <w:lang w:val="es-ES"/>
        </w:rPr>
        <w:t>lizadas</w:t>
      </w:r>
      <w:bookmarkEnd w:id="116"/>
    </w:p>
    <w:p w:rsidR="00D74092" w:rsidRPr="007223FB" w:rsidRDefault="00D74092" w:rsidP="000B07D9">
      <w:pPr>
        <w:pStyle w:val="Prrafodelista"/>
        <w:numPr>
          <w:ilvl w:val="0"/>
          <w:numId w:val="5"/>
        </w:numPr>
        <w:spacing w:before="120" w:after="120" w:line="240" w:lineRule="auto"/>
        <w:contextualSpacing w:val="0"/>
        <w:rPr>
          <w:lang w:val="es-ES" w:eastAsia="es-GT"/>
        </w:rPr>
      </w:pPr>
      <w:r w:rsidRPr="007223FB">
        <w:rPr>
          <w:b/>
          <w:lang w:val="es-ES" w:eastAsia="es-GT"/>
        </w:rPr>
        <w:t>Autoridad para el manejo sustentable de la Cuenca y del Lago de Amatitlán</w:t>
      </w:r>
      <w:r w:rsidRPr="007223FB">
        <w:rPr>
          <w:lang w:val="es-ES" w:eastAsia="es-GT"/>
        </w:rPr>
        <w:t xml:space="preserve"> </w:t>
      </w:r>
      <w:r w:rsidRPr="007223FB">
        <w:rPr>
          <w:b/>
          <w:lang w:val="es-ES" w:eastAsia="es-GT"/>
        </w:rPr>
        <w:t>–AMSA-</w:t>
      </w:r>
      <w:r w:rsidRPr="007223FB">
        <w:rPr>
          <w:lang w:val="es-ES" w:eastAsia="es-GT"/>
        </w:rPr>
        <w:t xml:space="preserve">  </w:t>
      </w:r>
    </w:p>
    <w:p w:rsidR="00626643" w:rsidRPr="007223FB" w:rsidRDefault="00626643" w:rsidP="003303E4">
      <w:pPr>
        <w:spacing w:before="120" w:after="120" w:line="240" w:lineRule="auto"/>
        <w:rPr>
          <w:lang w:val="es-ES" w:eastAsia="es-GT"/>
        </w:rPr>
      </w:pPr>
      <w:r w:rsidRPr="007223FB">
        <w:rPr>
          <w:lang w:val="es-ES" w:eastAsia="es-GT"/>
        </w:rPr>
        <w:t>La Autoridad para el manejo sustentable de la Cuenca y del Lago de Amatitlán</w:t>
      </w:r>
      <w:r w:rsidR="00D74092" w:rsidRPr="007223FB">
        <w:rPr>
          <w:lang w:val="es-ES" w:eastAsia="es-GT"/>
        </w:rPr>
        <w:t>,</w:t>
      </w:r>
      <w:r w:rsidRPr="007223FB">
        <w:rPr>
          <w:lang w:val="es-ES" w:eastAsia="es-GT"/>
        </w:rPr>
        <w:t xml:space="preserve"> es la entidad a cargo del rescate de la cuenca del Lago de Amatitlán, la cual abarca 14 municipios. En su calidad de Autoridad, AMSA establece su resultado institucional de la siguiente manera: “Para el 2024 se ha mejorado la calidad del agua que ingresa al lago de Amatitlán en un 4%, por medio de las Plantas de Tratamiento de Aguas Residuales PTAR a cargo de la institución”. </w:t>
      </w:r>
    </w:p>
    <w:p w:rsidR="00626643" w:rsidRPr="007223FB" w:rsidRDefault="00626643" w:rsidP="003303E4">
      <w:pPr>
        <w:spacing w:before="120" w:after="120" w:line="240" w:lineRule="auto"/>
        <w:rPr>
          <w:lang w:val="es-ES" w:eastAsia="es-GT"/>
        </w:rPr>
      </w:pPr>
      <w:r w:rsidRPr="007223FB">
        <w:rPr>
          <w:lang w:val="es-ES" w:eastAsia="es-GT"/>
        </w:rPr>
        <w:t xml:space="preserve">Este resultado engloba tres productos que contribuyen al rescate del lago. El primero denominado “Control y monitoreo de la calidad del agua” presenta acciones en tratamiento de 4, 703,530 metros cúbicos de agua, lo cual representa al segundo cuatrimestre una ejecución financiera de 57.34% (Q. 1.85 millones); sin embargo este producto registró un decremento considerable de 64.16%  en su meta física inicial fijada en 21, 742,560 metros cúbicos. Así mismo se han retirado </w:t>
      </w:r>
      <w:r w:rsidRPr="007223FB">
        <w:rPr>
          <w:lang w:val="es-ES" w:eastAsia="es-GT"/>
        </w:rPr>
        <w:lastRenderedPageBreak/>
        <w:t xml:space="preserve">29,868 metros cúbicos de desechos sólidos flotantes y plantas acuáticas, que representa un gasto de 36.89% (Q.0.63 millones). </w:t>
      </w:r>
    </w:p>
    <w:p w:rsidR="00626643" w:rsidRPr="007223FB" w:rsidRDefault="00626643" w:rsidP="003303E4">
      <w:pPr>
        <w:spacing w:before="120" w:after="120" w:line="240" w:lineRule="auto"/>
        <w:rPr>
          <w:lang w:val="es-ES" w:eastAsia="es-GT"/>
        </w:rPr>
      </w:pPr>
      <w:r w:rsidRPr="007223FB">
        <w:rPr>
          <w:lang w:val="es-ES" w:eastAsia="es-GT"/>
        </w:rPr>
        <w:t xml:space="preserve">El segundo producto denominado “Retención de sólidos, sedimentos y estabilización de los tributarios del lago de Amatitlán” presenta una muy baja ejecución, tanto física como financiera, en donde se registra un avance de ejecución financiera al segundo cuatrimestre de 8.64% (Q. 0.20 millones) y una física de 4.49% equivalentes en la retención de 11,500 metros cúbicos, de una meta fijada en 256,300. El tercer producto hace referencia a la conservación de suelos y reforestación de áreas en la cuenca del lago de Amatitlán, el cual al segundo cuatrimestre se encuentra en un avance financiero del 53% (Q. 1.53 millones) y un avance físico del 33.72%, equivalentes en la conservación de 976,810 hectáreas. </w:t>
      </w:r>
    </w:p>
    <w:p w:rsidR="00626643" w:rsidRPr="007223FB" w:rsidRDefault="00626643" w:rsidP="003303E4">
      <w:pPr>
        <w:spacing w:before="120" w:after="120" w:line="240" w:lineRule="auto"/>
        <w:rPr>
          <w:lang w:val="es-ES" w:eastAsia="es-GT"/>
        </w:rPr>
      </w:pPr>
      <w:r w:rsidRPr="007223FB">
        <w:rPr>
          <w:lang w:val="es-ES" w:eastAsia="es-GT"/>
        </w:rPr>
        <w:t xml:space="preserve">Al segundo cuatrimestre, AMSA presenta una ejecución financiera de 48.91% (Q. 14.33 millones) en donde se tiene una brecha de ejecución para el tercer cuatrimestre de Q.14.98 millones, la cual representa el doble de lo ejecutado hasta la fecha. Es importante mejorar la entrega de los bienes y servicios de AMSA para cumplir con la calidad en la ejecución del gasto y la programación realizada por la institución para el presente ejercicio fiscal. </w:t>
      </w:r>
    </w:p>
    <w:p w:rsidR="00D74092" w:rsidRPr="007223FB" w:rsidRDefault="00D74092" w:rsidP="000B07D9">
      <w:pPr>
        <w:pStyle w:val="Prrafodelista"/>
        <w:numPr>
          <w:ilvl w:val="0"/>
          <w:numId w:val="5"/>
        </w:numPr>
        <w:spacing w:before="120" w:after="120" w:line="240" w:lineRule="auto"/>
        <w:contextualSpacing w:val="0"/>
        <w:rPr>
          <w:b/>
          <w:lang w:val="es-ES" w:eastAsia="es-GT"/>
        </w:rPr>
      </w:pPr>
      <w:r w:rsidRPr="007223FB">
        <w:rPr>
          <w:b/>
          <w:lang w:val="es-ES" w:eastAsia="es-GT"/>
        </w:rPr>
        <w:t>Autoridad para el manejo sustentable de la cuenca del lago de Atitlán y su entorno –AMSCLAE-</w:t>
      </w:r>
    </w:p>
    <w:p w:rsidR="00626643" w:rsidRPr="007223FB" w:rsidRDefault="00626643" w:rsidP="003303E4">
      <w:pPr>
        <w:spacing w:before="120" w:after="120" w:line="240" w:lineRule="auto"/>
        <w:rPr>
          <w:lang w:val="es-ES" w:eastAsia="es-GT"/>
        </w:rPr>
      </w:pPr>
      <w:r w:rsidRPr="007223FB">
        <w:rPr>
          <w:lang w:val="es-ES" w:eastAsia="es-GT"/>
        </w:rPr>
        <w:t xml:space="preserve">La Autoridad para el manejo sustentable de la cuenca del lago de </w:t>
      </w:r>
      <w:r w:rsidR="00E55728" w:rsidRPr="007223FB">
        <w:rPr>
          <w:lang w:val="es-ES" w:eastAsia="es-GT"/>
        </w:rPr>
        <w:t>Atitlán</w:t>
      </w:r>
      <w:r w:rsidRPr="007223FB">
        <w:rPr>
          <w:lang w:val="es-ES" w:eastAsia="es-GT"/>
        </w:rPr>
        <w:t xml:space="preserve"> y su entorno</w:t>
      </w:r>
      <w:r w:rsidR="00D74092" w:rsidRPr="007223FB">
        <w:rPr>
          <w:lang w:val="es-ES" w:eastAsia="es-GT"/>
        </w:rPr>
        <w:t>,</w:t>
      </w:r>
      <w:r w:rsidRPr="007223FB">
        <w:rPr>
          <w:b/>
          <w:lang w:val="es-ES" w:eastAsia="es-GT"/>
        </w:rPr>
        <w:t xml:space="preserve"> </w:t>
      </w:r>
      <w:r w:rsidRPr="007223FB">
        <w:rPr>
          <w:lang w:val="es-ES" w:eastAsia="es-GT"/>
        </w:rPr>
        <w:t xml:space="preserve">es la entidad a cargo del rescate del lago de Atitlán. En su calidad de autoridad, AMSCLAE establece el resultado institucional “Para 2030 se incrementó a 60 el valor del índice de la calidad del agua de los principales ríos tributarios que desembocan en el lago de Atitlán, a través del manejo integrado de la cuenca” del cual, se describe el único producto de la institución, denominado: “Personas y entidades fortalecidas en temas ambientales para la conservación de los recursos naturales de la cuenca del lago”. </w:t>
      </w:r>
    </w:p>
    <w:p w:rsidR="00626643" w:rsidRPr="007223FB" w:rsidRDefault="00626643" w:rsidP="003303E4">
      <w:pPr>
        <w:spacing w:before="120" w:after="120" w:line="240" w:lineRule="auto"/>
        <w:rPr>
          <w:lang w:val="es-ES" w:eastAsia="es-GT"/>
        </w:rPr>
      </w:pPr>
      <w:r w:rsidRPr="007223FB">
        <w:rPr>
          <w:lang w:val="es-ES" w:eastAsia="es-GT"/>
        </w:rPr>
        <w:t xml:space="preserve">Dicho producto presenta una ejecución financiera de 46.07% (Q. 2.59 millones) y una ejecución física de 25.98% equivalentes en la realización de 439 eventos de capacitación. Sin embargo no se establecen los beneficiarios de esta acción por medio de la unidad de medida de personas, así como tampoco se puede determinar el impacto de la misma, dado que no se cuenta con el indicador del índice de la calidad del agua”. </w:t>
      </w:r>
    </w:p>
    <w:p w:rsidR="00F02464" w:rsidRDefault="00F02464" w:rsidP="000B07D9">
      <w:pPr>
        <w:pStyle w:val="Prrafodelista"/>
        <w:numPr>
          <w:ilvl w:val="0"/>
          <w:numId w:val="5"/>
        </w:numPr>
        <w:spacing w:before="120" w:after="120" w:line="240" w:lineRule="auto"/>
        <w:contextualSpacing w:val="0"/>
        <w:rPr>
          <w:b/>
          <w:lang w:val="es-ES" w:eastAsia="es-GT"/>
        </w:rPr>
      </w:pPr>
      <w:r w:rsidRPr="007223FB">
        <w:rPr>
          <w:b/>
          <w:lang w:val="es-ES" w:eastAsia="es-GT"/>
        </w:rPr>
        <w:t>Comisión contra la Discriminación y el Racismo contra los Pueblos Indígenas de Guatemala</w:t>
      </w:r>
      <w:r w:rsidR="0011787A" w:rsidRPr="007223FB">
        <w:rPr>
          <w:b/>
          <w:lang w:val="es-ES" w:eastAsia="es-GT"/>
        </w:rPr>
        <w:t xml:space="preserve"> –CODISRA- </w:t>
      </w:r>
    </w:p>
    <w:p w:rsidR="000E557D" w:rsidRPr="000E557D" w:rsidRDefault="000E557D" w:rsidP="003303E4">
      <w:pPr>
        <w:pStyle w:val="Prrafodelista"/>
        <w:autoSpaceDE w:val="0"/>
        <w:autoSpaceDN w:val="0"/>
        <w:adjustRightInd w:val="0"/>
        <w:spacing w:before="120" w:after="120" w:line="240" w:lineRule="auto"/>
        <w:ind w:left="0"/>
        <w:contextualSpacing w:val="0"/>
        <w:rPr>
          <w:rFonts w:eastAsia="Candara" w:cs="Candara"/>
          <w:spacing w:val="-3"/>
        </w:rPr>
      </w:pPr>
      <w:r w:rsidRPr="000E557D">
        <w:rPr>
          <w:rFonts w:eastAsia="Candara" w:cs="Candara"/>
          <w:spacing w:val="-3"/>
        </w:rPr>
        <w:t>Codisra es la encargada de la implementación y ejecución de la Política para la Convivencia y Erradicación de la Discriminación contra los pueblos indígenas, dentro de su planificación establece sensibilizar a servidores públicos, personas de iniciativa privada y actores de la sociedad civil, organizaciones gubernamentales y no gubernamentales en la institucionalización del tema.  Programa dentro del presente plan operativo anual, el producto denominado “Personas e instituciones capacitadas, sensibilizadas y asesoradas en la prevención y erradicación del racismo” con un programación inicial y vigente de 4,101 personas.  Presenta avance físico para el cuatrimestre de 1,075 personas atendidas equivalente a 26% para el cuatrimestre y 2,106 acumulado correspondiente a 51%.  Cuenta con un presupuesto inicial y vigente de Q 10.5 millones, de lo cual registra un avance financiero para el cuatrimestre de Q 2.9 millones equivalente a 28% y  Q 5.3 millones equivalente a 50% acumulado.</w:t>
      </w:r>
    </w:p>
    <w:p w:rsidR="00F02464" w:rsidRDefault="00F02464" w:rsidP="000B07D9">
      <w:pPr>
        <w:pStyle w:val="Prrafodelista"/>
        <w:numPr>
          <w:ilvl w:val="0"/>
          <w:numId w:val="5"/>
        </w:numPr>
        <w:spacing w:before="120" w:after="120" w:line="240" w:lineRule="auto"/>
        <w:contextualSpacing w:val="0"/>
        <w:rPr>
          <w:b/>
          <w:lang w:val="es-ES" w:eastAsia="es-GT"/>
        </w:rPr>
      </w:pPr>
      <w:r w:rsidRPr="007223FB">
        <w:rPr>
          <w:b/>
          <w:lang w:val="es-ES" w:eastAsia="es-GT"/>
        </w:rPr>
        <w:t>Consejo Nacional de la Juventud</w:t>
      </w:r>
      <w:r w:rsidR="0011787A" w:rsidRPr="007223FB">
        <w:rPr>
          <w:b/>
          <w:lang w:val="es-ES" w:eastAsia="es-GT"/>
        </w:rPr>
        <w:t xml:space="preserve"> –CONJUVE-</w:t>
      </w:r>
    </w:p>
    <w:p w:rsidR="000E557D" w:rsidRPr="000E557D" w:rsidRDefault="000E557D" w:rsidP="003303E4">
      <w:pPr>
        <w:pStyle w:val="Prrafodelista"/>
        <w:autoSpaceDE w:val="0"/>
        <w:autoSpaceDN w:val="0"/>
        <w:adjustRightInd w:val="0"/>
        <w:spacing w:before="120" w:after="120" w:line="240" w:lineRule="auto"/>
        <w:ind w:left="0"/>
        <w:contextualSpacing w:val="0"/>
        <w:rPr>
          <w:rFonts w:eastAsia="Candara" w:cs="Candara"/>
          <w:spacing w:val="-3"/>
        </w:rPr>
      </w:pPr>
      <w:r w:rsidRPr="000E557D">
        <w:rPr>
          <w:rFonts w:eastAsia="Candara" w:cs="Candara"/>
          <w:spacing w:val="-3"/>
        </w:rPr>
        <w:t xml:space="preserve">Conjuve se constituye como el órgano rector en la promoción de programas y acciones que viabilicen la participación de la juventud en el desarrollo de Guatemala; así mismo es el responsable de organizar </w:t>
      </w:r>
      <w:r w:rsidRPr="000E557D">
        <w:rPr>
          <w:rFonts w:eastAsia="Candara" w:cs="Candara"/>
          <w:spacing w:val="-3"/>
        </w:rPr>
        <w:lastRenderedPageBreak/>
        <w:t xml:space="preserve">y administrar los programas relacionados con la juventud y actuar como instancia de asesoría y Consejo de la Presidencia de la República en esta materia; lo anterior mediante la implementación y desarrollo de la Política Nacional de la Juventud. Presenta una programación vigente de 403,243 personas en el producto “Fortalecimiento de las Capacidades de los Jóvenes” con un avance para el cuatrimestre de 58% y 80% acumulado.    Conjuve cuenta con un presupuesto inicial y vigente de Q 13 millones, y una ejecución para el cuatrimestre de Q 6.4 millones equivalente al 33% y acumulada de Q 10.6 </w:t>
      </w:r>
      <w:r w:rsidR="00C147A0" w:rsidRPr="000E557D">
        <w:rPr>
          <w:rFonts w:eastAsia="Candara" w:cs="Candara"/>
          <w:spacing w:val="-3"/>
        </w:rPr>
        <w:t>millones equivalente</w:t>
      </w:r>
      <w:r w:rsidRPr="000E557D">
        <w:rPr>
          <w:rFonts w:eastAsia="Candara" w:cs="Candara"/>
          <w:spacing w:val="-3"/>
        </w:rPr>
        <w:t xml:space="preserve"> a 55%.  </w:t>
      </w:r>
    </w:p>
    <w:p w:rsidR="00F02464" w:rsidRPr="007223FB" w:rsidRDefault="00F02464" w:rsidP="000B07D9">
      <w:pPr>
        <w:pStyle w:val="Prrafodelista"/>
        <w:numPr>
          <w:ilvl w:val="0"/>
          <w:numId w:val="5"/>
        </w:numPr>
        <w:spacing w:before="120" w:after="120" w:line="240" w:lineRule="auto"/>
        <w:contextualSpacing w:val="0"/>
        <w:rPr>
          <w:b/>
          <w:lang w:val="es-ES" w:eastAsia="es-GT"/>
        </w:rPr>
      </w:pPr>
      <w:r w:rsidRPr="007223FB">
        <w:rPr>
          <w:b/>
          <w:lang w:val="es-ES" w:eastAsia="es-GT"/>
        </w:rPr>
        <w:t>Comisión Presidencial Coordinadora de la Política del Ejecutivo en Materia de Derechos Humanos</w:t>
      </w:r>
      <w:r w:rsidR="00A378C0" w:rsidRPr="007223FB">
        <w:rPr>
          <w:b/>
          <w:lang w:val="es-ES" w:eastAsia="es-GT"/>
        </w:rPr>
        <w:t xml:space="preserve"> –COPREDEH-</w:t>
      </w:r>
    </w:p>
    <w:p w:rsidR="00F6041D" w:rsidRPr="007223FB" w:rsidRDefault="00F6041D" w:rsidP="003303E4">
      <w:pPr>
        <w:autoSpaceDE w:val="0"/>
        <w:autoSpaceDN w:val="0"/>
        <w:adjustRightInd w:val="0"/>
        <w:spacing w:before="120" w:after="120" w:line="240" w:lineRule="auto"/>
        <w:rPr>
          <w:rFonts w:cs="Candara"/>
        </w:rPr>
      </w:pPr>
      <w:r w:rsidRPr="007223FB">
        <w:rPr>
          <w:rFonts w:cs="Candara"/>
        </w:rPr>
        <w:t>La Comisión Presidencial Coordinadora de la Política del Ejecutivo en materia de Derechos Humanos (Copredeh) tiene bajo su cargo coordinar e impulsar el respeto, la plena vigencia y el cumplimiento de las responsabilidades del Estado en materia de derechos humanos para la construcción de un Estado Democrático.</w:t>
      </w:r>
    </w:p>
    <w:p w:rsidR="00F6041D" w:rsidRPr="007223FB" w:rsidRDefault="00F6041D" w:rsidP="003303E4">
      <w:pPr>
        <w:autoSpaceDE w:val="0"/>
        <w:autoSpaceDN w:val="0"/>
        <w:adjustRightInd w:val="0"/>
        <w:spacing w:before="120" w:after="120" w:line="240" w:lineRule="auto"/>
        <w:rPr>
          <w:rFonts w:cs="Candara"/>
        </w:rPr>
      </w:pPr>
      <w:r w:rsidRPr="007223FB">
        <w:rPr>
          <w:rFonts w:cs="Candara"/>
        </w:rPr>
        <w:t>Es importante mencionar y recalcar el trabajo que ha realizado la Copredeh conjuntamente con la Coordinadora de Comunidades Afectadas por la Hidroeléctrica Chixoy (Cocahich) para el cumplimiento de la “Política Pública</w:t>
      </w:r>
      <w:r w:rsidRPr="007223FB">
        <w:rPr>
          <w:rStyle w:val="Refdenotaalpie"/>
          <w:rFonts w:cs="Candara"/>
        </w:rPr>
        <w:footnoteReference w:id="5"/>
      </w:r>
      <w:r w:rsidRPr="007223FB">
        <w:rPr>
          <w:rFonts w:cs="Candara"/>
        </w:rPr>
        <w:t xml:space="preserve"> de reparación a las comunidades afectadas por la construcción de la hidroeléctrica Chixoy cuyos derechos fueron vulnerados”.  En el año 2019, la institución cuenta con el producto “Medidas de reparación a comunidades afectadas por la construcción de la Hidroeléctrica de Chixoy”.  Sin embargo, dentro del reporte generado por el Sistema de Planes –SIPLAN-, se pudo observar que el porcentaje de avance para el presente cuatrimestre y además en cuanto al avance acumulado es bastante bajo (2.50%) considerando que es uno de los productos principales de Copredeh.</w:t>
      </w:r>
    </w:p>
    <w:p w:rsidR="00F6041D" w:rsidRPr="007223FB" w:rsidRDefault="00F6041D" w:rsidP="003303E4">
      <w:pPr>
        <w:spacing w:before="120" w:after="120" w:line="240" w:lineRule="auto"/>
        <w:rPr>
          <w:rFonts w:cs="Candara"/>
        </w:rPr>
      </w:pPr>
      <w:r w:rsidRPr="007223FB">
        <w:t>La institución cuenta con un presupuesto vigente de Q 182</w:t>
      </w:r>
      <w:r w:rsidR="00185D6F" w:rsidRPr="007223FB">
        <w:t>.</w:t>
      </w:r>
      <w:r w:rsidRPr="007223FB">
        <w:t>7 millones. En lo que respecta a la ejecución cuatrimestral mayo- agosto, se tiene un avance financiero de Q 37</w:t>
      </w:r>
      <w:r w:rsidR="00185D6F" w:rsidRPr="007223FB">
        <w:t>.</w:t>
      </w:r>
      <w:r w:rsidRPr="007223FB">
        <w:t>98</w:t>
      </w:r>
      <w:r w:rsidRPr="007223FB">
        <w:rPr>
          <w:bCs/>
        </w:rPr>
        <w:t xml:space="preserve"> millones equivalente a un 20.79%</w:t>
      </w:r>
      <w:r w:rsidR="00185D6F" w:rsidRPr="007223FB">
        <w:rPr>
          <w:bCs/>
        </w:rPr>
        <w:t>, acumulado de 25.8%</w:t>
      </w:r>
      <w:r w:rsidRPr="007223FB">
        <w:rPr>
          <w:bCs/>
        </w:rPr>
        <w:t>. Con respecto al resultado institucional, se tiene:</w:t>
      </w:r>
    </w:p>
    <w:p w:rsidR="00F6041D" w:rsidRPr="007223FB" w:rsidRDefault="00F6041D" w:rsidP="003303E4">
      <w:pPr>
        <w:autoSpaceDE w:val="0"/>
        <w:autoSpaceDN w:val="0"/>
        <w:adjustRightInd w:val="0"/>
        <w:spacing w:before="120" w:after="120" w:line="240" w:lineRule="auto"/>
        <w:rPr>
          <w:rFonts w:cs="Candara"/>
        </w:rPr>
      </w:pPr>
      <w:r w:rsidRPr="007223FB">
        <w:rPr>
          <w:rFonts w:cs="Candara"/>
        </w:rPr>
        <w:t>-Para el 2023 se ha incrementado en 50% el cumplimiento de los compromisos internacionales de Estado en Materia de Derechos Humanos derivados de Sentencias y Acuerdos de Solución Amistosa Cumplimiento de Recomendaciones de 10% en 2019 a 50% 2023.</w:t>
      </w:r>
    </w:p>
    <w:p w:rsidR="00F02464" w:rsidRPr="007223FB" w:rsidRDefault="00F02464" w:rsidP="000B07D9">
      <w:pPr>
        <w:pStyle w:val="Prrafodelista"/>
        <w:numPr>
          <w:ilvl w:val="0"/>
          <w:numId w:val="5"/>
        </w:numPr>
        <w:spacing w:before="120" w:after="120" w:line="240" w:lineRule="auto"/>
        <w:contextualSpacing w:val="0"/>
        <w:rPr>
          <w:b/>
          <w:lang w:val="es-ES" w:eastAsia="es-GT"/>
        </w:rPr>
      </w:pPr>
      <w:r w:rsidRPr="007223FB">
        <w:rPr>
          <w:b/>
          <w:lang w:val="es-ES" w:eastAsia="es-GT"/>
        </w:rPr>
        <w:t>Defensoría de la Mujer Indígena</w:t>
      </w:r>
      <w:r w:rsidR="0047645F" w:rsidRPr="007223FB">
        <w:rPr>
          <w:b/>
          <w:lang w:val="es-ES" w:eastAsia="es-GT"/>
        </w:rPr>
        <w:t xml:space="preserve"> –DEMI-</w:t>
      </w:r>
    </w:p>
    <w:p w:rsidR="001354EE" w:rsidRDefault="000E557D" w:rsidP="003303E4">
      <w:pPr>
        <w:pStyle w:val="Prrafodelista"/>
        <w:autoSpaceDE w:val="0"/>
        <w:autoSpaceDN w:val="0"/>
        <w:adjustRightInd w:val="0"/>
        <w:spacing w:before="120" w:after="120" w:line="240" w:lineRule="auto"/>
        <w:ind w:left="0"/>
        <w:contextualSpacing w:val="0"/>
        <w:rPr>
          <w:rFonts w:eastAsia="Candara" w:cs="Candara"/>
          <w:spacing w:val="-3"/>
        </w:rPr>
      </w:pPr>
      <w:r w:rsidRPr="000E557D">
        <w:rPr>
          <w:rFonts w:eastAsia="Candara" w:cs="Candara"/>
          <w:spacing w:val="-3"/>
        </w:rPr>
        <w:t xml:space="preserve">La Demi ha establecido un resultado institucional orientado a aumentar la atención promoción y defensa a mujeres indígenas para contribuir a la erradicación de todas las formas de violencia y discriminación, para el alcance del resultado programa el producto “Mujeres indígenas con servicios de atención integral con una programación en metas físicas de atención a 13,752 personas.  </w:t>
      </w:r>
    </w:p>
    <w:p w:rsidR="00B7489A" w:rsidRDefault="000E557D" w:rsidP="003303E4">
      <w:pPr>
        <w:pStyle w:val="Prrafodelista"/>
        <w:autoSpaceDE w:val="0"/>
        <w:autoSpaceDN w:val="0"/>
        <w:adjustRightInd w:val="0"/>
        <w:spacing w:before="120" w:after="120" w:line="240" w:lineRule="auto"/>
        <w:ind w:left="0"/>
        <w:contextualSpacing w:val="0"/>
        <w:rPr>
          <w:rFonts w:eastAsia="Candara" w:cs="Candara"/>
          <w:spacing w:val="-3"/>
        </w:rPr>
      </w:pPr>
      <w:r w:rsidRPr="000E557D">
        <w:rPr>
          <w:rFonts w:eastAsia="Candara" w:cs="Candara"/>
          <w:spacing w:val="-3"/>
        </w:rPr>
        <w:t>Así mismo presenta tres subproductos con el siguiente avance físico: “Mujeres indígenas violentadas en sus derechos reciben atención jurídica” 40% para el cuatrimestre y acumulado de 69% , “Mujeres indígenas violentadas en sus derechos reciben atención social” 45% para el cuatrimestre y 83% acumulado, “Mujeres indígenas violentadas en sus derechos reciben atención psicológica” 38% y 67%, Personas informadas y capacitadas en Derechos Humanos para la prevención de la violencia contra las Mujeres un avance de 83% pa</w:t>
      </w:r>
      <w:r w:rsidR="001354EE">
        <w:rPr>
          <w:rFonts w:eastAsia="Candara" w:cs="Candara"/>
          <w:spacing w:val="-3"/>
        </w:rPr>
        <w:t>ra el cuatrimestre y acumulado.</w:t>
      </w:r>
      <w:r w:rsidRPr="000E557D">
        <w:rPr>
          <w:rFonts w:eastAsia="Candara" w:cs="Candara"/>
          <w:spacing w:val="-3"/>
        </w:rPr>
        <w:t xml:space="preserve">  </w:t>
      </w:r>
    </w:p>
    <w:p w:rsidR="000E557D" w:rsidRPr="000E557D" w:rsidRDefault="000E557D" w:rsidP="003303E4">
      <w:pPr>
        <w:pStyle w:val="Prrafodelista"/>
        <w:autoSpaceDE w:val="0"/>
        <w:autoSpaceDN w:val="0"/>
        <w:adjustRightInd w:val="0"/>
        <w:spacing w:before="120" w:after="120" w:line="240" w:lineRule="auto"/>
        <w:ind w:left="0"/>
        <w:contextualSpacing w:val="0"/>
        <w:rPr>
          <w:rFonts w:eastAsia="Candara" w:cs="Candara"/>
          <w:spacing w:val="-3"/>
        </w:rPr>
      </w:pPr>
      <w:r w:rsidRPr="000E557D">
        <w:rPr>
          <w:rFonts w:eastAsia="Candara" w:cs="Candara"/>
          <w:spacing w:val="-3"/>
        </w:rPr>
        <w:lastRenderedPageBreak/>
        <w:t xml:space="preserve">La Demi presenta un presupuesto inicial y vigente de Q </w:t>
      </w:r>
      <w:r w:rsidR="00C147A0" w:rsidRPr="000E557D">
        <w:rPr>
          <w:rFonts w:eastAsia="Candara" w:cs="Candara"/>
          <w:spacing w:val="-3"/>
        </w:rPr>
        <w:t>19 millones</w:t>
      </w:r>
      <w:r w:rsidRPr="000E557D">
        <w:rPr>
          <w:rFonts w:eastAsia="Candara" w:cs="Candara"/>
          <w:spacing w:val="-3"/>
        </w:rPr>
        <w:t xml:space="preserve">, registra una ejecución para el cuatrimestre de Q 6.2 millones equivalente a 33% </w:t>
      </w:r>
      <w:r w:rsidR="00C147A0" w:rsidRPr="000E557D">
        <w:rPr>
          <w:rFonts w:eastAsia="Candara" w:cs="Candara"/>
          <w:spacing w:val="-3"/>
        </w:rPr>
        <w:t>y acumulada</w:t>
      </w:r>
      <w:r w:rsidRPr="000E557D">
        <w:rPr>
          <w:rFonts w:eastAsia="Candara" w:cs="Candara"/>
          <w:spacing w:val="-3"/>
        </w:rPr>
        <w:t xml:space="preserve"> de Q 10.4 millones equivalente a 55%.</w:t>
      </w:r>
    </w:p>
    <w:p w:rsidR="00F02464" w:rsidRPr="007223FB" w:rsidRDefault="00F02464" w:rsidP="000B07D9">
      <w:pPr>
        <w:pStyle w:val="Prrafodelista"/>
        <w:numPr>
          <w:ilvl w:val="0"/>
          <w:numId w:val="5"/>
        </w:numPr>
        <w:spacing w:before="120" w:after="120" w:line="240" w:lineRule="auto"/>
        <w:contextualSpacing w:val="0"/>
        <w:rPr>
          <w:b/>
          <w:lang w:val="es-ES" w:eastAsia="es-GT"/>
        </w:rPr>
      </w:pPr>
      <w:r w:rsidRPr="007223FB">
        <w:rPr>
          <w:b/>
          <w:lang w:val="es-ES" w:eastAsia="es-GT"/>
        </w:rPr>
        <w:t>Fondo de Desarrollo Indígena Guatemalteco</w:t>
      </w:r>
      <w:r w:rsidR="0047645F" w:rsidRPr="007223FB">
        <w:rPr>
          <w:b/>
          <w:lang w:val="es-ES" w:eastAsia="es-GT"/>
        </w:rPr>
        <w:t xml:space="preserve"> –FODIGUA-</w:t>
      </w:r>
    </w:p>
    <w:p w:rsidR="00B7489A" w:rsidRDefault="00E176B1" w:rsidP="003303E4">
      <w:pPr>
        <w:autoSpaceDE w:val="0"/>
        <w:autoSpaceDN w:val="0"/>
        <w:adjustRightInd w:val="0"/>
        <w:spacing w:before="120" w:after="120" w:line="240" w:lineRule="auto"/>
        <w:rPr>
          <w:lang w:eastAsia="es-GT"/>
        </w:rPr>
      </w:pPr>
      <w:r w:rsidRPr="007223FB">
        <w:rPr>
          <w:lang w:val="es-MX"/>
        </w:rPr>
        <w:t xml:space="preserve">El Fondo de Desarrollo Indígena Guatemalteco, según el Acuerdo Gubernativo N0.435-94, le corresponde dirigir sus acciones a fortalecer y promover el desarrollo humano integral de los pueblos Maya, Garífuna y Xinka con enfoque multicultural e intercultural, a través de los programas estratégicos: </w:t>
      </w:r>
      <w:r w:rsidRPr="007223FB">
        <w:rPr>
          <w:lang w:eastAsia="es-GT"/>
        </w:rPr>
        <w:t xml:space="preserve">red virtual, formación política para gobernar y Autoridades Indígenas, gestión del desarrollo, consejo de ancianos y sistema de Autoridades Indígenas e infraestructura, contenidos en el PEI 2016-2022, todos los programas están orientados al desarrollo social, niñez preparada y jóvenes protagonistas, el Fondo no plantea resultado institucional toda su producción está alineada a los resultados estratégicos: </w:t>
      </w:r>
    </w:p>
    <w:p w:rsidR="00B7489A" w:rsidRDefault="00E176B1" w:rsidP="003303E4">
      <w:pPr>
        <w:autoSpaceDE w:val="0"/>
        <w:autoSpaceDN w:val="0"/>
        <w:adjustRightInd w:val="0"/>
        <w:spacing w:before="120" w:after="120" w:line="240" w:lineRule="auto"/>
        <w:rPr>
          <w:rFonts w:cs="Arial"/>
        </w:rPr>
      </w:pPr>
      <w:r w:rsidRPr="007223FB">
        <w:rPr>
          <w:lang w:eastAsia="es-GT"/>
        </w:rPr>
        <w:t xml:space="preserve">a) </w:t>
      </w:r>
      <w:r w:rsidRPr="007223FB">
        <w:t xml:space="preserve">Aumentar la efectividad de la Gobernanza, llevándola de 25 en 2014 a 50 en 2019, a través de la generación y facilitación del servicio: “Personas indígenas formadas en el ejercicio pleno de sus derechos”, aún no registra avance, b) </w:t>
      </w:r>
      <w:r w:rsidRPr="007223FB">
        <w:rPr>
          <w:rFonts w:cs="Courier"/>
          <w:bCs/>
        </w:rPr>
        <w:t>Para el 2019, se ha disminuido la prevalencia de desnutrición crónica en niños menores de dos años, en 10 puntos porcentuales (De 41.7% en 2015 a 31.7% en 2019), a través del producto “</w:t>
      </w:r>
      <w:r w:rsidRPr="007223FB">
        <w:t xml:space="preserve">Comunidades indígenas beneficiadas con dotación de insumos para su desarrollo”, todavía no reporta avance, c) </w:t>
      </w:r>
      <w:r w:rsidRPr="007223FB">
        <w:rPr>
          <w:rFonts w:cs="Courier"/>
          <w:bCs/>
        </w:rPr>
        <w:t>Al 2019, se ha incrementado la cobertura en educación primaria en 6 puntos porcentuales (De 82.0% en 2014 a 88.0% 2019), con la intervención: “</w:t>
      </w:r>
      <w:r w:rsidRPr="007223FB">
        <w:rPr>
          <w:rFonts w:cs="Arial"/>
        </w:rPr>
        <w:t xml:space="preserve">Escuelas de comunidades indígenas dotadas con equipo de cómputo”, registra 100 % de avance. </w:t>
      </w:r>
    </w:p>
    <w:p w:rsidR="00E176B1" w:rsidRPr="007223FB" w:rsidRDefault="00E176B1" w:rsidP="003303E4">
      <w:pPr>
        <w:autoSpaceDE w:val="0"/>
        <w:autoSpaceDN w:val="0"/>
        <w:adjustRightInd w:val="0"/>
        <w:spacing w:before="120" w:after="120" w:line="240" w:lineRule="auto"/>
        <w:rPr>
          <w:rFonts w:cs="Courier"/>
          <w:bCs/>
        </w:rPr>
      </w:pPr>
      <w:r w:rsidRPr="007223FB">
        <w:rPr>
          <w:lang w:eastAsia="es-GT"/>
        </w:rPr>
        <w:t>El presupuesto vigente del Fondo es de Q</w:t>
      </w:r>
      <w:r w:rsidRPr="007223FB">
        <w:t xml:space="preserve"> </w:t>
      </w:r>
      <w:r w:rsidRPr="007223FB">
        <w:rPr>
          <w:rFonts w:cs="Arial"/>
        </w:rPr>
        <w:t xml:space="preserve">36.00 </w:t>
      </w:r>
      <w:r w:rsidRPr="007223FB">
        <w:rPr>
          <w:bCs/>
        </w:rPr>
        <w:t>millones, l</w:t>
      </w:r>
      <w:r w:rsidRPr="007223FB">
        <w:t>a ejecución financiera en el segundo cuatrimestre fue de Q18</w:t>
      </w:r>
      <w:r w:rsidRPr="007223FB">
        <w:rPr>
          <w:rFonts w:cs="Arial"/>
        </w:rPr>
        <w:t xml:space="preserve">.20 </w:t>
      </w:r>
      <w:r w:rsidRPr="007223FB">
        <w:t>millones que corresponde al 50.56%, se debe mejorar la planificación de programas y proyectos de desarrollo para los pueblos indígenas porque obedece al cumplimiento de normas y políticas nacionales e internacionales en materia de derechos humanos.</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Oficina Nacional de Servicio Civil</w:t>
      </w:r>
      <w:r w:rsidR="00A378C0" w:rsidRPr="007223FB">
        <w:rPr>
          <w:b/>
          <w:lang w:val="es-ES" w:eastAsia="es-GT"/>
        </w:rPr>
        <w:t xml:space="preserve"> –Onsec-</w:t>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 xml:space="preserve">La Oficina Nacional de Servicio Civil (Onsec), quien de conformidad con su mandato es la institución encargada de la administración del Sistema de Servicio Civil y del Régimen de Clases Pasivas Civiles del Estado. </w:t>
      </w:r>
    </w:p>
    <w:p w:rsidR="00A378C0" w:rsidRPr="007223FB" w:rsidRDefault="00A378C0" w:rsidP="003303E4">
      <w:pPr>
        <w:autoSpaceDE w:val="0"/>
        <w:autoSpaceDN w:val="0"/>
        <w:adjustRightInd w:val="0"/>
        <w:spacing w:before="120" w:after="120" w:line="240" w:lineRule="auto"/>
        <w:rPr>
          <w:rFonts w:cs="Candara"/>
          <w:highlight w:val="yellow"/>
        </w:rPr>
      </w:pPr>
      <w:r w:rsidRPr="007223FB">
        <w:rPr>
          <w:rFonts w:cs="Candara"/>
        </w:rPr>
        <w:t>La Onsec desarrolla un Resultado Institucional “Para el 2019 se incrementa en 91,990 las acciones de recursos humanos, pensiones y otros beneficios de los servidores y ex servidores públicos e instituciones del organismo ejecutivo de 151,710 en 2018 a 243,700 en 2019”, el alcance de este resultado a agosto del 2019 fue de 62,7116 personas.</w:t>
      </w:r>
      <w:r w:rsidR="00B7489A">
        <w:rPr>
          <w:rFonts w:cs="Candara"/>
        </w:rPr>
        <w:t xml:space="preserve"> </w:t>
      </w:r>
      <w:r w:rsidRPr="007223FB">
        <w:rPr>
          <w:rFonts w:cs="Candara"/>
        </w:rPr>
        <w:t xml:space="preserve">Para el segundo cuatrimestre y el acumulado a agosto del 2019, La Onsec registra una ejecución de metas físicas y financieras para sus productos de acuerdo a lo programado en el POA 2019. </w:t>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Para el ejercicio fiscal 201</w:t>
      </w:r>
      <w:r w:rsidR="00A41741" w:rsidRPr="007223FB">
        <w:rPr>
          <w:rFonts w:cs="Candara"/>
        </w:rPr>
        <w:t>9</w:t>
      </w:r>
      <w:r w:rsidRPr="007223FB">
        <w:rPr>
          <w:rFonts w:cs="Candara"/>
        </w:rPr>
        <w:t>, a la Onsec le fueron asignado</w:t>
      </w:r>
      <w:r w:rsidR="00B7489A">
        <w:rPr>
          <w:rFonts w:cs="Candara"/>
        </w:rPr>
        <w:t>s</w:t>
      </w:r>
      <w:r w:rsidRPr="007223FB">
        <w:rPr>
          <w:rFonts w:cs="Candara"/>
        </w:rPr>
        <w:t xml:space="preserve"> Q50.097 millones</w:t>
      </w:r>
      <w:r w:rsidRPr="007223FB">
        <w:rPr>
          <w:rFonts w:cs="Candara"/>
          <w:color w:val="000000" w:themeColor="text1"/>
        </w:rPr>
        <w:t xml:space="preserve">, </w:t>
      </w:r>
      <w:r w:rsidRPr="007223FB">
        <w:rPr>
          <w:rFonts w:cs="Candara"/>
        </w:rPr>
        <w:t>el cual tuvo un incremento de Q1.2 millones por lo que el presupuesto vigente a agosto de 2019 fue de Q53.297millones. La ejecución de mayo a agosto fue de Q16.23 millones equivalente al 30.46% de avance y la ejecución acumulada de enero a agosto fue de Q31.65 millones equivalente al 59.39%, por lo que por ejecutar le restan un total de 40.61%.</w:t>
      </w:r>
      <w:r w:rsidRPr="007223FB">
        <w:rPr>
          <w:rFonts w:cs="Candara"/>
        </w:rPr>
        <w:tab/>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El reto más importante para la Onsec para el tercer cuatrimestre del 2019, es poder plantear Resultados Institucionales que cumplan con los criterios de la Gestión por Resultados, ya que con el que cuentan a agosto 2019 está planteado como un producto.</w:t>
      </w:r>
    </w:p>
    <w:p w:rsidR="00985E6E" w:rsidRDefault="00985E6E">
      <w:pPr>
        <w:jc w:val="left"/>
        <w:rPr>
          <w:b/>
          <w:lang w:val="es-ES" w:eastAsia="es-GT"/>
        </w:rPr>
      </w:pPr>
      <w:r>
        <w:rPr>
          <w:b/>
          <w:lang w:val="es-ES" w:eastAsia="es-GT"/>
        </w:rPr>
        <w:br w:type="page"/>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Procuraduría General de la Nación</w:t>
      </w:r>
      <w:r w:rsidR="00A378C0" w:rsidRPr="007223FB">
        <w:rPr>
          <w:b/>
          <w:lang w:val="es-ES" w:eastAsia="es-GT"/>
        </w:rPr>
        <w:t xml:space="preserve"> –PGN-</w:t>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La Procuraduría General de la Nación (PGN), quien cumple con el mandato de asesoría y consultoría de los órganos y entidades gubernamentales y del sector público en general, ejerce la representación legal del Estado así como de la niñez, adolescencia, personas de la tercera edad y personas con capacidades diferentes.</w:t>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La PGN define dos Resultados Institucionales: RI1 “Para el 2022 se ha incrementado el diligenciamiento  en los casos en materia de representación y defensa de los intereses del Estado en 34 por ciento de 66 por ciento en el año 2015 a 100 por ciento en el año 2022”  y RI2 “Para el 2022 se ha incrementado el número de casos resueltos de niños, niñas, adolescentes, mujeres, adultos mayores y personas con capacidades diferentes en 20 por ciento de 80 por ciento en el año 2015 a 100 por ciento en el año 2022”, la institución no reportó avance obtenido en los resultados a agosto 2019.</w:t>
      </w:r>
    </w:p>
    <w:p w:rsidR="00A378C0" w:rsidRPr="007223FB" w:rsidRDefault="00A378C0" w:rsidP="003303E4">
      <w:pPr>
        <w:autoSpaceDE w:val="0"/>
        <w:autoSpaceDN w:val="0"/>
        <w:adjustRightInd w:val="0"/>
        <w:spacing w:before="120" w:after="120" w:line="240" w:lineRule="auto"/>
        <w:rPr>
          <w:rFonts w:cs="Candara"/>
          <w:highlight w:val="yellow"/>
        </w:rPr>
      </w:pPr>
      <w:r w:rsidRPr="007223FB">
        <w:rPr>
          <w:rFonts w:cs="Candara"/>
        </w:rPr>
        <w:t xml:space="preserve">Para el segundo cuatrimestre y el acumulado a agosto del 2019, la PGN registra una ejecución de metas físicas y financieras para sus productos de acuerdo a lo programado en el POA 2019. </w:t>
      </w:r>
    </w:p>
    <w:p w:rsidR="00A378C0" w:rsidRPr="007223FB" w:rsidRDefault="00A41741" w:rsidP="003303E4">
      <w:pPr>
        <w:autoSpaceDE w:val="0"/>
        <w:autoSpaceDN w:val="0"/>
        <w:adjustRightInd w:val="0"/>
        <w:spacing w:before="120" w:after="120" w:line="240" w:lineRule="auto"/>
        <w:rPr>
          <w:rFonts w:cs="Candara"/>
        </w:rPr>
      </w:pPr>
      <w:r w:rsidRPr="007223FB">
        <w:rPr>
          <w:rFonts w:cs="Candara"/>
        </w:rPr>
        <w:t>Para el ejercicio fiscal 2019</w:t>
      </w:r>
      <w:r w:rsidR="00A378C0" w:rsidRPr="007223FB">
        <w:rPr>
          <w:rFonts w:cs="Candara"/>
        </w:rPr>
        <w:t xml:space="preserve"> a la PGN le fue asignado Q117.256 millones el cual tuvo un incremento de Q18 millones, por lo que el presupuesto vigente a agosto 2019 fue de Q135.256 millones. La ejecución de mayo a agosto fue de Q39.29 millones equivalente al 29.05% de avance y la ejecución acumulada de enero a agosto fue de Q76.89 millones equivalente al 56.85%, por lo que tiene pendiente de ejecuta un 43.15%.</w:t>
      </w:r>
    </w:p>
    <w:p w:rsidR="00A378C0" w:rsidRPr="007223FB" w:rsidRDefault="00A378C0" w:rsidP="003303E4">
      <w:pPr>
        <w:autoSpaceDE w:val="0"/>
        <w:autoSpaceDN w:val="0"/>
        <w:adjustRightInd w:val="0"/>
        <w:spacing w:before="120" w:after="120" w:line="240" w:lineRule="auto"/>
        <w:rPr>
          <w:rFonts w:cs="Candara"/>
        </w:rPr>
      </w:pPr>
      <w:r w:rsidRPr="007223FB">
        <w:rPr>
          <w:rFonts w:cs="Candara"/>
        </w:rPr>
        <w:t>El reto más importante para la PGN para el tercer cuatrimestre del 2019, es poder medir el avance alcanzado de los Resultados Institucionales planteados.</w:t>
      </w:r>
    </w:p>
    <w:p w:rsidR="00A378C0" w:rsidRPr="007223FB" w:rsidRDefault="00A378C0" w:rsidP="000B07D9">
      <w:pPr>
        <w:pStyle w:val="Prrafodelista"/>
        <w:numPr>
          <w:ilvl w:val="0"/>
          <w:numId w:val="5"/>
        </w:numPr>
        <w:spacing w:before="120" w:after="120" w:line="240" w:lineRule="auto"/>
        <w:contextualSpacing w:val="0"/>
        <w:rPr>
          <w:b/>
          <w:lang w:eastAsia="es-GT"/>
        </w:rPr>
      </w:pPr>
      <w:r w:rsidRPr="007223FB">
        <w:rPr>
          <w:b/>
          <w:lang w:eastAsia="es-GT"/>
        </w:rPr>
        <w:t>Presidencia de la República –PR-</w:t>
      </w:r>
    </w:p>
    <w:p w:rsidR="008A1C30" w:rsidRPr="007223FB" w:rsidRDefault="008A1C30" w:rsidP="003303E4">
      <w:pPr>
        <w:spacing w:before="120" w:after="120" w:line="240" w:lineRule="auto"/>
        <w:rPr>
          <w:lang w:eastAsia="es-GT"/>
        </w:rPr>
      </w:pPr>
      <w:r w:rsidRPr="007223FB">
        <w:rPr>
          <w:lang w:eastAsia="es-GT"/>
        </w:rPr>
        <w:t xml:space="preserve">La Presidencia de la República es parte del Organismo Ejecutivo al igual que los Ministerios de Estado, las Secretarías y otras Dependencias. El Presidente de la República representa al Poder Ejecutivo y es el Jefe del Estado de Guatemala. Para el cumplimiento de sus </w:t>
      </w:r>
      <w:r w:rsidR="00C147A0" w:rsidRPr="007223FB">
        <w:rPr>
          <w:lang w:eastAsia="es-GT"/>
        </w:rPr>
        <w:t>funciones tiene</w:t>
      </w:r>
      <w:r w:rsidRPr="007223FB">
        <w:rPr>
          <w:lang w:eastAsia="es-GT"/>
        </w:rPr>
        <w:t xml:space="preserve"> un presupuesto vigente de Q 243.50 millones de los cuales ejecuto este segundo </w:t>
      </w:r>
      <w:r w:rsidR="00C147A0" w:rsidRPr="007223FB">
        <w:rPr>
          <w:lang w:eastAsia="es-GT"/>
        </w:rPr>
        <w:t>cuatrimestre Q</w:t>
      </w:r>
      <w:r w:rsidRPr="007223FB">
        <w:rPr>
          <w:lang w:eastAsia="es-GT"/>
        </w:rPr>
        <w:t xml:space="preserve"> 84.82 millones, equivalentes a 34.84%. La distribución presupuestaria es la siguiente: </w:t>
      </w:r>
      <w:r w:rsidR="007D6955" w:rsidRPr="007223FB">
        <w:rPr>
          <w:lang w:eastAsia="es-GT"/>
        </w:rPr>
        <w:t>Dirección</w:t>
      </w:r>
      <w:r w:rsidRPr="007223FB">
        <w:rPr>
          <w:lang w:eastAsia="es-GT"/>
        </w:rPr>
        <w:t xml:space="preserve"> y coordinación Ejecutiva Q 29.65 millones, Seguridad presidencial y vicepresidencial Q 187.86 millones, Servicios de transparencia y gobierno electrónico Q 12.20 millones, Atención a la Conflictividad Q 12.50 </w:t>
      </w:r>
      <w:r w:rsidR="00C147A0" w:rsidRPr="007223FB">
        <w:rPr>
          <w:lang w:eastAsia="es-GT"/>
        </w:rPr>
        <w:t>millones y</w:t>
      </w:r>
      <w:r w:rsidRPr="007223FB">
        <w:rPr>
          <w:lang w:eastAsia="es-GT"/>
        </w:rPr>
        <w:t xml:space="preserve"> partidas no asignables Q 1.2 millones. El monto restante a ejecutar es de Q</w:t>
      </w:r>
      <w:r w:rsidR="002A0013" w:rsidRPr="007223FB">
        <w:rPr>
          <w:lang w:eastAsia="es-GT"/>
        </w:rPr>
        <w:t xml:space="preserve"> 85.92 millones</w:t>
      </w:r>
      <w:r w:rsidR="00C147A0" w:rsidRPr="007223FB">
        <w:rPr>
          <w:lang w:eastAsia="es-GT"/>
        </w:rPr>
        <w:t>, cabe</w:t>
      </w:r>
      <w:r w:rsidR="002A0013" w:rsidRPr="007223FB">
        <w:rPr>
          <w:lang w:eastAsia="es-GT"/>
        </w:rPr>
        <w:t xml:space="preserve"> resaltar que el vigente fue aumentado </w:t>
      </w:r>
      <w:r w:rsidR="00C147A0" w:rsidRPr="007223FB">
        <w:rPr>
          <w:lang w:eastAsia="es-GT"/>
        </w:rPr>
        <w:t>en Q12.50</w:t>
      </w:r>
      <w:r w:rsidR="002A0013" w:rsidRPr="007223FB">
        <w:rPr>
          <w:lang w:eastAsia="es-GT"/>
        </w:rPr>
        <w:t xml:space="preserve"> millones en este periodo.</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de Asuntos Agrarios</w:t>
      </w:r>
      <w:r w:rsidR="00A378C0" w:rsidRPr="007223FB">
        <w:rPr>
          <w:b/>
          <w:lang w:val="es-ES" w:eastAsia="es-GT"/>
        </w:rPr>
        <w:t xml:space="preserve"> –SAA-</w:t>
      </w:r>
    </w:p>
    <w:p w:rsidR="00DB33D9" w:rsidRPr="007223FB" w:rsidRDefault="00DB33D9" w:rsidP="003303E4">
      <w:pPr>
        <w:spacing w:before="120" w:after="120" w:line="240" w:lineRule="auto"/>
        <w:rPr>
          <w:rFonts w:eastAsia="Calibri" w:cs="Times New Roman"/>
        </w:rPr>
      </w:pPr>
      <w:r w:rsidRPr="007223FB">
        <w:rPr>
          <w:rFonts w:eastAsia="Calibri" w:cs="Times New Roman"/>
        </w:rPr>
        <w:t xml:space="preserve">La producción institucional de la SAA está enfocada en tres Resultados Institucionales e igual número de productos, siendo el primer producto </w:t>
      </w:r>
      <w:r w:rsidRPr="007223FB">
        <w:rPr>
          <w:rFonts w:eastAsia="Calibri" w:cs="Times New Roman"/>
          <w:i/>
        </w:rPr>
        <w:t xml:space="preserve">“Dirección y Coordinación”; </w:t>
      </w:r>
      <w:r w:rsidRPr="007223FB">
        <w:rPr>
          <w:rFonts w:eastAsia="Calibri" w:cs="Times New Roman"/>
        </w:rPr>
        <w:t>Para el RI: “</w:t>
      </w:r>
      <w:r w:rsidRPr="007223FB">
        <w:rPr>
          <w:rFonts w:eastAsia="Calibri" w:cs="Times New Roman"/>
          <w:i/>
        </w:rPr>
        <w:t xml:space="preserve">Implementación y seguimiento de la política agraria” </w:t>
      </w:r>
      <w:r w:rsidRPr="007223FB">
        <w:rPr>
          <w:rFonts w:eastAsia="Calibri" w:cs="Times New Roman"/>
        </w:rPr>
        <w:t xml:space="preserve"> con el producto </w:t>
      </w:r>
      <w:r w:rsidRPr="007223FB">
        <w:rPr>
          <w:rFonts w:eastAsia="Calibri" w:cs="Times New Roman"/>
          <w:i/>
        </w:rPr>
        <w:t>“Actores sociales asistidos y capacitados sobre la implementación de la Política Agraria”</w:t>
      </w:r>
      <w:r w:rsidRPr="007223FB">
        <w:rPr>
          <w:rFonts w:eastAsia="Calibri" w:cs="Times New Roman"/>
        </w:rPr>
        <w:t xml:space="preserve"> tuvo una planificación vigente de 600 personas, para el segundo cuatrimestre presenta un avance físico de atención a 225 personas y una ejecución financiera de Q.1.2 millones;  En el RI: </w:t>
      </w:r>
      <w:r w:rsidRPr="007223FB">
        <w:rPr>
          <w:rFonts w:eastAsia="Calibri" w:cs="Times New Roman"/>
          <w:i/>
        </w:rPr>
        <w:t xml:space="preserve">“Intermediación en la resolución de conflictos agrarios” </w:t>
      </w:r>
      <w:r w:rsidRPr="007223FB">
        <w:rPr>
          <w:rFonts w:eastAsia="Calibri" w:cs="Times New Roman"/>
        </w:rPr>
        <w:t xml:space="preserve">se tiene una meta física vigente de 101,051 personas, en el segundo cuatrimestre del año 2019 el avance físico fue de 31,425 personas, la ejecución financiera fue de Q.5.73 millones. </w:t>
      </w:r>
    </w:p>
    <w:p w:rsidR="00DB33D9" w:rsidRPr="007223FB" w:rsidRDefault="00DB33D9" w:rsidP="003303E4">
      <w:pPr>
        <w:spacing w:before="120" w:after="120" w:line="240" w:lineRule="auto"/>
        <w:rPr>
          <w:lang w:val="es-MX"/>
        </w:rPr>
      </w:pPr>
      <w:r w:rsidRPr="007223FB">
        <w:rPr>
          <w:lang w:val="es-MX"/>
        </w:rPr>
        <w:t xml:space="preserve">El presupuesto inicial y vigente de la SAA es Q. 38.0 millones, para el segundo cuatrimestre ejecutó Q. </w:t>
      </w:r>
      <w:r w:rsidR="00C147A0" w:rsidRPr="007223FB">
        <w:rPr>
          <w:lang w:val="es-MX"/>
        </w:rPr>
        <w:t>16.31 millones</w:t>
      </w:r>
      <w:r w:rsidRPr="007223FB">
        <w:rPr>
          <w:lang w:val="es-MX"/>
        </w:rPr>
        <w:t xml:space="preserve"> que equivale a un 42.92%.  </w:t>
      </w:r>
    </w:p>
    <w:p w:rsidR="00985E6E" w:rsidRDefault="00985E6E">
      <w:pPr>
        <w:jc w:val="left"/>
        <w:rPr>
          <w:b/>
          <w:lang w:val="es-ES" w:eastAsia="es-GT"/>
        </w:rPr>
      </w:pPr>
      <w:r>
        <w:rPr>
          <w:b/>
          <w:lang w:val="es-ES" w:eastAsia="es-GT"/>
        </w:rPr>
        <w:lastRenderedPageBreak/>
        <w:br w:type="page"/>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Secretaria de Bienestar Social</w:t>
      </w:r>
      <w:r w:rsidR="00AF6151" w:rsidRPr="007223FB">
        <w:rPr>
          <w:b/>
          <w:lang w:val="es-ES" w:eastAsia="es-GT"/>
        </w:rPr>
        <w:t xml:space="preserve"> –SBS-</w:t>
      </w:r>
    </w:p>
    <w:p w:rsidR="0058044A" w:rsidRPr="007223FB" w:rsidRDefault="00AF6151" w:rsidP="003303E4">
      <w:pPr>
        <w:spacing w:before="120" w:after="120" w:line="240" w:lineRule="auto"/>
        <w:rPr>
          <w:rFonts w:cs="Candara"/>
          <w:color w:val="000000" w:themeColor="text1"/>
        </w:rPr>
      </w:pPr>
      <w:r w:rsidRPr="007223FB">
        <w:rPr>
          <w:rFonts w:cs="Candara"/>
          <w:color w:val="000000" w:themeColor="text1"/>
          <w:lang w:val="es-ES"/>
        </w:rPr>
        <w:t>L</w:t>
      </w:r>
      <w:r w:rsidR="0058044A" w:rsidRPr="007223FB">
        <w:rPr>
          <w:rFonts w:cs="Candara"/>
          <w:color w:val="000000" w:themeColor="text1"/>
        </w:rPr>
        <w:t>a Secretaría de Bienestar Social de la Presidencia (SBS), es la responsable de formular, coordinar y ejecutar las políticas públicas de protección integral de la niñez y la adolescencia procurando la reinserción y resocialización de los adolescentes en conflicto con la ley penal en el marco de la normativa jurídica nacional e internacional. Es una entidad del Organismo Ejecutivo con carácter administrativo. De acuerdo al Reglamento Orgánico Interno (Acuerdo Gubernativo 101-2015) responde a las dinámicas que se han impulsado en la institución orientándola hacia un nuevo escenario que se sustenta en los Derechos fundamentales de la n</w:t>
      </w:r>
      <w:r w:rsidR="00582D3F">
        <w:rPr>
          <w:rFonts w:cs="Candara"/>
          <w:color w:val="000000" w:themeColor="text1"/>
        </w:rPr>
        <w:t>iñez y adolescentes guatemalteco</w:t>
      </w:r>
      <w:r w:rsidR="0058044A" w:rsidRPr="007223FB">
        <w:rPr>
          <w:rFonts w:cs="Candara"/>
          <w:color w:val="000000" w:themeColor="text1"/>
        </w:rPr>
        <w:t>s</w:t>
      </w:r>
    </w:p>
    <w:p w:rsidR="0058044A" w:rsidRPr="007223FB" w:rsidRDefault="0058044A" w:rsidP="003303E4">
      <w:pPr>
        <w:spacing w:before="120" w:after="120" w:line="240" w:lineRule="auto"/>
        <w:rPr>
          <w:rFonts w:cs="Candara"/>
          <w:color w:val="000000" w:themeColor="text1"/>
        </w:rPr>
      </w:pPr>
      <w:r w:rsidRPr="007223FB">
        <w:rPr>
          <w:rFonts w:cs="Candara"/>
          <w:color w:val="000000" w:themeColor="text1"/>
        </w:rPr>
        <w:t xml:space="preserve">La Secretaría plantea tres resultados institucionales  y tres programas estratégicos: a) El Programa de Protección y Acogimiento a la Niñez y Adolescencia, define seis productos y diecinueve subproductos, uno de los seis productos: </w:t>
      </w:r>
      <w:r w:rsidRPr="007223FB">
        <w:rPr>
          <w:color w:val="000000" w:themeColor="text1"/>
        </w:rPr>
        <w:t>Niñas niños y adolescentes migrantes no acompañados atendidos temporalmente, tiene el avance de meta física de</w:t>
      </w:r>
      <w:r w:rsidR="00582D3F">
        <w:rPr>
          <w:color w:val="000000" w:themeColor="text1"/>
        </w:rPr>
        <w:t xml:space="preserve"> 19.33%, y el  avance financiero</w:t>
      </w:r>
      <w:r w:rsidRPr="007223FB">
        <w:rPr>
          <w:color w:val="000000" w:themeColor="text1"/>
        </w:rPr>
        <w:t xml:space="preserve"> de 55.99%, y los cinco productos se observa con cero avance de meta físicas,  </w:t>
      </w:r>
      <w:r w:rsidRPr="007223FB">
        <w:rPr>
          <w:rFonts w:cs="Candara"/>
          <w:color w:val="000000" w:themeColor="text1"/>
        </w:rPr>
        <w:t>b) Programa de Reinserción y Resocialización de Adolescentes en Conflicto con la Ley Penal, tiene un resultado institucional con dos productos y cinco subproductos con cero avance de meta física en el segundo cuatrimestre y el Programa de Preservación Familiar, Fortalecimiento y Apoyo Comunitario, es el responsable de ejecutar el tercer resultado Institucional, registra  seis productos y  once subproductos, de los seis productos solo uno registra un avance físico,  es el</w:t>
      </w:r>
      <w:r w:rsidRPr="007223FB">
        <w:rPr>
          <w:color w:val="000000" w:themeColor="text1"/>
        </w:rPr>
        <w:t xml:space="preserve"> Centros de Cuidado Infantil Diario que atienden niños y niñas de 0 a 4 años regulados con un avance física de 28.85% y la ejecución financiera es de 51.33% de su presupuesto vigente</w:t>
      </w:r>
      <w:r w:rsidRPr="007223FB">
        <w:rPr>
          <w:rFonts w:cs="Candara"/>
          <w:color w:val="FF0000"/>
        </w:rPr>
        <w:t>.</w:t>
      </w:r>
      <w:r w:rsidRPr="007223FB">
        <w:rPr>
          <w:rFonts w:cs="Candara"/>
          <w:color w:val="000000" w:themeColor="text1"/>
        </w:rPr>
        <w:t xml:space="preserve">  De los tres programas estratégicos solo dos programas tiene avances física en el segundo cuatrimestre </w:t>
      </w:r>
      <w:r w:rsidR="009F4BC5" w:rsidRPr="007223FB">
        <w:rPr>
          <w:rFonts w:cs="Candara"/>
          <w:color w:val="000000" w:themeColor="text1"/>
        </w:rPr>
        <w:t>y de</w:t>
      </w:r>
      <w:r w:rsidRPr="007223FB">
        <w:rPr>
          <w:rFonts w:cs="Candara"/>
          <w:color w:val="000000" w:themeColor="text1"/>
        </w:rPr>
        <w:t xml:space="preserve"> los catorce productos dos tiene avances y doce productos se </w:t>
      </w:r>
      <w:r w:rsidR="009F4BC5" w:rsidRPr="007223FB">
        <w:rPr>
          <w:rFonts w:cs="Candara"/>
          <w:color w:val="000000" w:themeColor="text1"/>
        </w:rPr>
        <w:t>observa con</w:t>
      </w:r>
      <w:r w:rsidRPr="007223FB">
        <w:rPr>
          <w:rFonts w:cs="Candara"/>
          <w:color w:val="000000" w:themeColor="text1"/>
        </w:rPr>
        <w:t xml:space="preserve"> cero avance física, por lo que este afecta para el desarrollo integral de la niñez y adolescencia con discapacidad mental y severa vulnerados en sus derechos, victimas en violencia sexual, riesgos social</w:t>
      </w:r>
      <w:r w:rsidR="009F4BC5" w:rsidRPr="007223FB">
        <w:rPr>
          <w:rFonts w:cs="Candara"/>
          <w:color w:val="000000" w:themeColor="text1"/>
        </w:rPr>
        <w:t>, adolescentes</w:t>
      </w:r>
      <w:r w:rsidRPr="007223FB">
        <w:rPr>
          <w:rFonts w:cs="Candara"/>
          <w:color w:val="000000" w:themeColor="text1"/>
        </w:rPr>
        <w:t xml:space="preserve"> en conflicto con la ley penal.  Para el segundo cuatrimestre se </w:t>
      </w:r>
      <w:r w:rsidR="00582D3F">
        <w:rPr>
          <w:rFonts w:cs="Candara"/>
          <w:color w:val="000000" w:themeColor="text1"/>
        </w:rPr>
        <w:t>observa</w:t>
      </w:r>
      <w:r w:rsidRPr="007223FB">
        <w:rPr>
          <w:rFonts w:cs="Candara"/>
          <w:color w:val="000000" w:themeColor="text1"/>
        </w:rPr>
        <w:t xml:space="preserve"> avances físicos y financieros en </w:t>
      </w:r>
      <w:r w:rsidR="00582D3F">
        <w:rPr>
          <w:rFonts w:cs="Candara"/>
          <w:color w:val="000000" w:themeColor="text1"/>
        </w:rPr>
        <w:t>el</w:t>
      </w:r>
      <w:r w:rsidRPr="007223FB">
        <w:rPr>
          <w:rFonts w:cs="Candara"/>
          <w:color w:val="000000" w:themeColor="text1"/>
        </w:rPr>
        <w:t xml:space="preserve"> acumulado de los catorce productos definidos por la Secretaría.</w:t>
      </w:r>
    </w:p>
    <w:p w:rsidR="000951C6" w:rsidRPr="007223FB" w:rsidRDefault="0058044A" w:rsidP="003303E4">
      <w:pPr>
        <w:spacing w:before="120" w:after="120" w:line="240" w:lineRule="auto"/>
        <w:rPr>
          <w:rFonts w:cs="Candara"/>
          <w:color w:val="000000" w:themeColor="text1"/>
        </w:rPr>
      </w:pPr>
      <w:r w:rsidRPr="007223FB">
        <w:rPr>
          <w:rFonts w:cs="Candara"/>
          <w:color w:val="000000" w:themeColor="text1"/>
        </w:rPr>
        <w:t xml:space="preserve"> En el siguiente cuadro se observan los resultados institucionales definidos por la Secretaría, con sus respectivos productos, con cero avances de metas físicas, en el segundo cuatrimestre, sin embargo en lo acumulado se tiene el avance financiero de los productos y subproducto,   así como los avances en las </w:t>
      </w:r>
      <w:r w:rsidR="009F4BC5" w:rsidRPr="007223FB">
        <w:rPr>
          <w:rFonts w:cs="Candara"/>
          <w:color w:val="000000" w:themeColor="text1"/>
        </w:rPr>
        <w:t>metas físicas al finalizar el segundo</w:t>
      </w:r>
      <w:r w:rsidRPr="007223FB">
        <w:rPr>
          <w:rFonts w:cs="Candara"/>
          <w:color w:val="000000" w:themeColor="text1"/>
        </w:rPr>
        <w:t xml:space="preserve"> cuatrimestre. </w:t>
      </w:r>
    </w:p>
    <w:p w:rsidR="00A461AF" w:rsidRPr="00A17383" w:rsidRDefault="00A461AF" w:rsidP="00A17383">
      <w:pPr>
        <w:pStyle w:val="Ttulo4"/>
        <w:numPr>
          <w:ilvl w:val="0"/>
          <w:numId w:val="0"/>
        </w:numPr>
        <w:ind w:left="864"/>
        <w:rPr>
          <w:rFonts w:ascii="Candara" w:hAnsi="Candara"/>
          <w:b/>
          <w:color w:val="auto"/>
          <w:sz w:val="18"/>
        </w:rPr>
      </w:pPr>
      <w:bookmarkStart w:id="117" w:name="_Toc19524705"/>
      <w:r w:rsidRPr="00A17383">
        <w:rPr>
          <w:rFonts w:ascii="Candara" w:hAnsi="Candara"/>
          <w:b/>
          <w:color w:val="auto"/>
          <w:sz w:val="18"/>
        </w:rPr>
        <w:t xml:space="preserve">Cuadro </w:t>
      </w:r>
      <w:r w:rsidR="009B30CD">
        <w:rPr>
          <w:rFonts w:ascii="Candara" w:hAnsi="Candara"/>
          <w:b/>
          <w:color w:val="auto"/>
          <w:sz w:val="18"/>
        </w:rPr>
        <w:t>19</w:t>
      </w:r>
      <w:r w:rsidR="009B30CD">
        <w:rPr>
          <w:rFonts w:ascii="Candara" w:hAnsi="Candara"/>
          <w:b/>
          <w:color w:val="auto"/>
          <w:sz w:val="18"/>
        </w:rPr>
        <w:br/>
      </w:r>
      <w:r w:rsidRPr="00A17383">
        <w:rPr>
          <w:rFonts w:ascii="Candara" w:hAnsi="Candara"/>
          <w:b/>
          <w:color w:val="auto"/>
          <w:sz w:val="18"/>
        </w:rPr>
        <w:t>Resultados Institucionales, metas fís</w:t>
      </w:r>
      <w:r w:rsidR="009B30CD">
        <w:rPr>
          <w:rFonts w:ascii="Candara" w:hAnsi="Candara"/>
          <w:b/>
          <w:color w:val="auto"/>
          <w:sz w:val="18"/>
        </w:rPr>
        <w:t>icas de la producción</w:t>
      </w:r>
      <w:r w:rsidR="009B30CD">
        <w:rPr>
          <w:rFonts w:ascii="Candara" w:hAnsi="Candara"/>
          <w:b/>
          <w:color w:val="auto"/>
          <w:sz w:val="18"/>
        </w:rPr>
        <w:br/>
      </w:r>
      <w:r w:rsidRPr="00A17383">
        <w:rPr>
          <w:rFonts w:ascii="Candara" w:hAnsi="Candara"/>
          <w:b/>
          <w:color w:val="auto"/>
          <w:sz w:val="18"/>
        </w:rPr>
        <w:t xml:space="preserve">Ejercicio </w:t>
      </w:r>
      <w:r w:rsidR="00C147A0" w:rsidRPr="00A17383">
        <w:rPr>
          <w:rFonts w:ascii="Candara" w:hAnsi="Candara"/>
          <w:b/>
          <w:color w:val="auto"/>
          <w:sz w:val="18"/>
        </w:rPr>
        <w:t>FISCAL 2DO</w:t>
      </w:r>
      <w:r w:rsidRPr="00A17383">
        <w:rPr>
          <w:rFonts w:ascii="Candara" w:hAnsi="Candara"/>
          <w:b/>
          <w:color w:val="auto"/>
          <w:sz w:val="18"/>
        </w:rPr>
        <w:t xml:space="preserve"> Cuatrimestre 2019</w:t>
      </w:r>
      <w:bookmarkEnd w:id="117"/>
    </w:p>
    <w:tbl>
      <w:tblPr>
        <w:tblStyle w:val="Tabladecuadrcula5oscura-nfasis11"/>
        <w:tblW w:w="10348" w:type="dxa"/>
        <w:tblInd w:w="-572" w:type="dxa"/>
        <w:tblLayout w:type="fixed"/>
        <w:tblLook w:val="04A0" w:firstRow="1" w:lastRow="0" w:firstColumn="1" w:lastColumn="0" w:noHBand="0" w:noVBand="1"/>
      </w:tblPr>
      <w:tblGrid>
        <w:gridCol w:w="1843"/>
        <w:gridCol w:w="2410"/>
        <w:gridCol w:w="709"/>
        <w:gridCol w:w="850"/>
        <w:gridCol w:w="1276"/>
        <w:gridCol w:w="1276"/>
        <w:gridCol w:w="992"/>
        <w:gridCol w:w="992"/>
      </w:tblGrid>
      <w:tr w:rsidR="00A461AF" w:rsidRPr="003303E4" w:rsidTr="003303E4">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461AF" w:rsidRPr="003303E4" w:rsidRDefault="00A461AF" w:rsidP="009F4BC5">
            <w:pPr>
              <w:tabs>
                <w:tab w:val="center" w:pos="4362"/>
              </w:tabs>
              <w:jc w:val="center"/>
              <w:rPr>
                <w:rFonts w:eastAsia="Times New Roman" w:cs="Times New Roman"/>
                <w:sz w:val="18"/>
                <w:szCs w:val="20"/>
                <w:lang w:eastAsia="es-ES"/>
              </w:rPr>
            </w:pPr>
            <w:r w:rsidRPr="003303E4">
              <w:rPr>
                <w:rFonts w:eastAsia="Times New Roman" w:cs="Times New Roman"/>
                <w:sz w:val="18"/>
                <w:szCs w:val="20"/>
                <w:lang w:eastAsia="es-ES"/>
              </w:rPr>
              <w:t>Resultado</w:t>
            </w:r>
          </w:p>
        </w:tc>
        <w:tc>
          <w:tcPr>
            <w:tcW w:w="2410" w:type="dxa"/>
            <w:vMerge w:val="restart"/>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8"/>
                <w:szCs w:val="20"/>
                <w:lang w:eastAsia="es-ES"/>
              </w:rPr>
            </w:pPr>
            <w:r w:rsidRPr="003303E4">
              <w:rPr>
                <w:rFonts w:eastAsia="Times New Roman" w:cs="Times New Roman"/>
                <w:b w:val="0"/>
                <w:sz w:val="18"/>
                <w:szCs w:val="20"/>
                <w:lang w:eastAsia="es-ES"/>
              </w:rPr>
              <w:t>Productos</w:t>
            </w:r>
          </w:p>
        </w:tc>
        <w:tc>
          <w:tcPr>
            <w:tcW w:w="6095" w:type="dxa"/>
            <w:gridSpan w:val="6"/>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Avance físico</w:t>
            </w:r>
          </w:p>
        </w:tc>
      </w:tr>
      <w:tr w:rsidR="00A461AF" w:rsidRPr="003303E4" w:rsidTr="003303E4">
        <w:trPr>
          <w:cnfStyle w:val="100000000000" w:firstRow="1" w:lastRow="0" w:firstColumn="0" w:lastColumn="0" w:oddVBand="0" w:evenVBand="0" w:oddHBand="0" w:evenHBand="0" w:firstRowFirstColumn="0" w:firstRowLastColumn="0" w:lastRowFirstColumn="0" w:lastRowLastColumn="0"/>
          <w:trHeight w:val="133"/>
          <w:tblHeader/>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center"/>
              <w:rPr>
                <w:rFonts w:eastAsia="Times New Roman" w:cs="Times New Roman"/>
                <w:sz w:val="18"/>
                <w:szCs w:val="20"/>
                <w:lang w:eastAsia="es-ES"/>
              </w:rPr>
            </w:pPr>
          </w:p>
        </w:tc>
        <w:tc>
          <w:tcPr>
            <w:tcW w:w="2410" w:type="dxa"/>
            <w:vMerge/>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p>
        </w:tc>
        <w:tc>
          <w:tcPr>
            <w:tcW w:w="709"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Inicial</w:t>
            </w:r>
          </w:p>
        </w:tc>
        <w:tc>
          <w:tcPr>
            <w:tcW w:w="850"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Vigente</w:t>
            </w:r>
          </w:p>
        </w:tc>
        <w:tc>
          <w:tcPr>
            <w:tcW w:w="1276"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Ejecutado 1er cuatrimestre</w:t>
            </w:r>
          </w:p>
        </w:tc>
        <w:tc>
          <w:tcPr>
            <w:tcW w:w="1276"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Ejecutado 2do cuatrimestre</w:t>
            </w:r>
          </w:p>
        </w:tc>
        <w:tc>
          <w:tcPr>
            <w:tcW w:w="992"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Total Ejecutado</w:t>
            </w:r>
          </w:p>
        </w:tc>
        <w:tc>
          <w:tcPr>
            <w:tcW w:w="992" w:type="dxa"/>
          </w:tcPr>
          <w:p w:rsidR="00A461AF" w:rsidRPr="003303E4" w:rsidRDefault="00A461AF" w:rsidP="009F4BC5">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 de avance</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461AF" w:rsidRPr="003303E4" w:rsidRDefault="00A461AF" w:rsidP="009F4BC5">
            <w:pPr>
              <w:autoSpaceDE w:val="0"/>
              <w:autoSpaceDN w:val="0"/>
              <w:adjustRightInd w:val="0"/>
              <w:jc w:val="left"/>
              <w:rPr>
                <w:sz w:val="18"/>
                <w:szCs w:val="20"/>
              </w:rPr>
            </w:pPr>
            <w:r w:rsidRPr="003303E4">
              <w:rPr>
                <w:sz w:val="18"/>
                <w:szCs w:val="20"/>
              </w:rPr>
              <w:t xml:space="preserve">Para el 2026 se ha incrementado la atención psicosocial y familiar ambulatoria no residencial y residencial en los programas de protección integral a 15 años de 0 años 2017 a 15 año en </w:t>
            </w:r>
            <w:r w:rsidRPr="003303E4">
              <w:rPr>
                <w:sz w:val="18"/>
                <w:szCs w:val="20"/>
              </w:rPr>
              <w:lastRenderedPageBreak/>
              <w:t>2026, d</w:t>
            </w:r>
            <w:r w:rsidRPr="003303E4">
              <w:rPr>
                <w:rFonts w:cs="Courier"/>
                <w:sz w:val="18"/>
                <w:szCs w:val="20"/>
              </w:rPr>
              <w:t xml:space="preserve">el Programa de Protección y Acogimiento a la Niñez y Adolescencia            </w:t>
            </w:r>
            <w:r w:rsidRPr="003303E4">
              <w:rPr>
                <w:rFonts w:cs="Courier"/>
                <w:b w:val="0"/>
                <w:bCs w:val="0"/>
                <w:sz w:val="18"/>
                <w:szCs w:val="20"/>
              </w:rPr>
              <w:t xml:space="preserve">                </w:t>
            </w:r>
          </w:p>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sz w:val="18"/>
                <w:szCs w:val="20"/>
              </w:rPr>
              <w:lastRenderedPageBreak/>
              <w:t>Niñas niños y adolescentes con discapacidad mental severa y profunda vulnerados en sus derechos atendidos integralmente en el hogar de protección y abrigo especializado</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t>65</w:t>
            </w:r>
          </w:p>
        </w:tc>
        <w:tc>
          <w:tcPr>
            <w:tcW w:w="850" w:type="dxa"/>
          </w:tcPr>
          <w:p w:rsidR="00A461AF" w:rsidRPr="003303E4" w:rsidRDefault="00A461AF" w:rsidP="009F4BC5">
            <w:pPr>
              <w:tabs>
                <w:tab w:val="center" w:pos="4362"/>
              </w:tabs>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90</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58</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58</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64.64</w:t>
            </w:r>
          </w:p>
        </w:tc>
      </w:tr>
      <w:tr w:rsidR="00A461AF" w:rsidRPr="003303E4" w:rsidTr="003C59D5">
        <w:trPr>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autoSpaceDE w:val="0"/>
              <w:autoSpaceDN w:val="0"/>
              <w:adjustRightInd w:val="0"/>
              <w:jc w:val="left"/>
              <w:rPr>
                <w:rFonts w:eastAsia="Calibri" w:cs="Courier"/>
                <w:sz w:val="18"/>
                <w:szCs w:val="20"/>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sz w:val="18"/>
                <w:szCs w:val="20"/>
              </w:rPr>
              <w:t xml:space="preserve">Niñas niños y adolescentes de 0 a 18 años vulnerados en sus derechos atendidos integralmente y acogidos </w:t>
            </w:r>
            <w:r w:rsidRPr="003303E4">
              <w:rPr>
                <w:sz w:val="18"/>
                <w:szCs w:val="20"/>
              </w:rPr>
              <w:lastRenderedPageBreak/>
              <w:t>por una familia sustituta temporalmente</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lastRenderedPageBreak/>
              <w:t>100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100</w:t>
            </w:r>
          </w:p>
        </w:tc>
        <w:tc>
          <w:tcPr>
            <w:tcW w:w="1276" w:type="dxa"/>
          </w:tcPr>
          <w:p w:rsidR="00A461AF" w:rsidRPr="003303E4" w:rsidRDefault="00A461AF" w:rsidP="009F4BC5">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49</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49</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49</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autoSpaceDE w:val="0"/>
              <w:autoSpaceDN w:val="0"/>
              <w:adjustRightInd w:val="0"/>
              <w:jc w:val="left"/>
              <w:rPr>
                <w:rFonts w:eastAsia="Calibri" w:cs="Courier"/>
                <w:sz w:val="18"/>
                <w:szCs w:val="20"/>
              </w:rPr>
            </w:pP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sz w:val="18"/>
                <w:szCs w:val="20"/>
              </w:rPr>
              <w:t>Niñas niños y adolescentes migrantes no acompañados atendidos temporalmente para su reunificación familiar y comunitaria</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color w:val="000000" w:themeColor="text1"/>
                <w:sz w:val="18"/>
                <w:szCs w:val="20"/>
              </w:rPr>
            </w:pPr>
            <w:r w:rsidRPr="003303E4">
              <w:rPr>
                <w:rFonts w:eastAsia="Calibri" w:cs="Arial"/>
                <w:color w:val="000000" w:themeColor="text1"/>
                <w:sz w:val="18"/>
                <w:szCs w:val="20"/>
              </w:rPr>
              <w:t>9,000</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s-ES"/>
              </w:rPr>
            </w:pPr>
            <w:r w:rsidRPr="003303E4">
              <w:rPr>
                <w:rFonts w:eastAsia="Times New Roman" w:cs="Times New Roman"/>
                <w:color w:val="000000" w:themeColor="text1"/>
                <w:sz w:val="18"/>
                <w:szCs w:val="20"/>
                <w:lang w:eastAsia="es-ES"/>
              </w:rPr>
              <w:t>10,300</w:t>
            </w:r>
          </w:p>
        </w:tc>
        <w:tc>
          <w:tcPr>
            <w:tcW w:w="1276" w:type="dxa"/>
          </w:tcPr>
          <w:p w:rsidR="00A461AF" w:rsidRPr="003303E4" w:rsidRDefault="00A461AF" w:rsidP="009F4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s-ES"/>
              </w:rPr>
            </w:pPr>
            <w:r w:rsidRPr="003303E4">
              <w:rPr>
                <w:rFonts w:eastAsia="Times New Roman" w:cs="Times New Roman"/>
                <w:color w:val="000000" w:themeColor="text1"/>
                <w:sz w:val="18"/>
                <w:szCs w:val="20"/>
                <w:lang w:eastAsia="es-ES"/>
              </w:rPr>
              <w:t>864</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s-ES"/>
              </w:rPr>
            </w:pPr>
            <w:r w:rsidRPr="003303E4">
              <w:rPr>
                <w:rFonts w:eastAsia="Times New Roman" w:cs="Times New Roman"/>
                <w:color w:val="000000" w:themeColor="text1"/>
                <w:sz w:val="18"/>
                <w:szCs w:val="20"/>
                <w:lang w:eastAsia="es-ES"/>
              </w:rPr>
              <w:t>1,990</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s-ES"/>
              </w:rPr>
            </w:pPr>
            <w:r w:rsidRPr="003303E4">
              <w:rPr>
                <w:rFonts w:eastAsia="Times New Roman" w:cs="Times New Roman"/>
                <w:color w:val="000000" w:themeColor="text1"/>
                <w:sz w:val="18"/>
                <w:szCs w:val="20"/>
                <w:lang w:eastAsia="es-ES"/>
              </w:rPr>
              <w:t>2,854</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20"/>
                <w:lang w:eastAsia="es-ES"/>
              </w:rPr>
            </w:pPr>
            <w:r w:rsidRPr="003303E4">
              <w:rPr>
                <w:rFonts w:eastAsia="Times New Roman" w:cs="Times New Roman"/>
                <w:color w:val="000000" w:themeColor="text1"/>
                <w:sz w:val="18"/>
                <w:szCs w:val="20"/>
                <w:lang w:eastAsia="es-ES"/>
              </w:rPr>
              <w:t>27.71</w:t>
            </w:r>
          </w:p>
        </w:tc>
      </w:tr>
      <w:tr w:rsidR="00A461AF" w:rsidRPr="003303E4" w:rsidTr="003C59D5">
        <w:trPr>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autoSpaceDE w:val="0"/>
              <w:autoSpaceDN w:val="0"/>
              <w:adjustRightInd w:val="0"/>
              <w:jc w:val="left"/>
              <w:rPr>
                <w:rFonts w:eastAsia="Calibri" w:cs="Courier"/>
                <w:sz w:val="18"/>
                <w:szCs w:val="20"/>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sz w:val="18"/>
                <w:szCs w:val="20"/>
              </w:rPr>
              <w:t>Niñas niños adolescentes y jóvenes beneficiados con actividades psicosociales para la prevención de la violencia</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t>4,200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4,500</w:t>
            </w:r>
          </w:p>
        </w:tc>
        <w:tc>
          <w:tcPr>
            <w:tcW w:w="1276" w:type="dxa"/>
          </w:tcPr>
          <w:p w:rsidR="00A461AF" w:rsidRPr="003303E4" w:rsidRDefault="00A461AF" w:rsidP="009F4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2,537</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2,537</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56.38</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sz w:val="18"/>
                <w:szCs w:val="20"/>
              </w:rPr>
              <w:t>Niñas niños y adolescentes vulnerados reciben atención especial residencial para la restitución de sus derechos</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t>631</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711</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619</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619</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87.06</w:t>
            </w:r>
          </w:p>
        </w:tc>
      </w:tr>
      <w:tr w:rsidR="00A461AF" w:rsidRPr="003303E4" w:rsidTr="003C59D5">
        <w:trPr>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sz w:val="18"/>
                <w:szCs w:val="20"/>
              </w:rPr>
              <w:t>Niñas niños y adolescentes no institucionalizados y su familia recibiendo atención y orientación psicológica social pedagógica y jurídica</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t>4,000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2,761</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889</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sz w:val="18"/>
                <w:szCs w:val="20"/>
              </w:rPr>
              <w:t>989</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35.82</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461AF" w:rsidRPr="003303E4" w:rsidRDefault="00A461AF" w:rsidP="009F4BC5">
            <w:pPr>
              <w:tabs>
                <w:tab w:val="center" w:pos="4362"/>
              </w:tabs>
              <w:jc w:val="left"/>
              <w:rPr>
                <w:rFonts w:eastAsia="Times New Roman" w:cs="Times New Roman"/>
                <w:sz w:val="18"/>
                <w:szCs w:val="20"/>
                <w:lang w:eastAsia="es-ES"/>
              </w:rPr>
            </w:pPr>
            <w:r w:rsidRPr="003303E4">
              <w:rPr>
                <w:sz w:val="18"/>
                <w:szCs w:val="20"/>
              </w:rPr>
              <w:t>Para el 2026 se ha incrementado la cobertura de medidas alternativas a la privación de libertad a 15 años  De 0 0â0en 2017 a 15 0â0en 2026</w:t>
            </w: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sz w:val="18"/>
                <w:szCs w:val="20"/>
              </w:rPr>
            </w:pPr>
            <w:r w:rsidRPr="003303E4">
              <w:rPr>
                <w:sz w:val="18"/>
                <w:szCs w:val="20"/>
              </w:rPr>
              <w:t>Adolescentes de 13 a 17 años en conflicto con la ley penal atendidos integralmente en los centros especializados de privación de libertad</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t>5,565</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3,423</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1,062</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cnfStyle w:val="000000100000" w:firstRow="0" w:lastRow="0" w:firstColumn="0" w:lastColumn="0" w:oddVBand="0" w:evenVBand="0" w:oddHBand="1" w:evenHBand="0" w:firstRowFirstColumn="0" w:firstRowLastColumn="0" w:lastRowFirstColumn="0" w:lastRowLastColumn="0"/>
              <w:rPr>
                <w:sz w:val="18"/>
                <w:szCs w:val="20"/>
              </w:rPr>
            </w:pPr>
            <w:r w:rsidRPr="003303E4">
              <w:rPr>
                <w:sz w:val="18"/>
                <w:szCs w:val="20"/>
              </w:rPr>
              <w:t>1,062</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31.03</w:t>
            </w:r>
          </w:p>
        </w:tc>
      </w:tr>
      <w:tr w:rsidR="00A461AF" w:rsidRPr="003303E4" w:rsidTr="003C59D5">
        <w:trPr>
          <w:trHeight w:val="1185"/>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sz w:val="18"/>
                <w:szCs w:val="20"/>
              </w:rPr>
            </w:pPr>
            <w:r w:rsidRPr="003303E4">
              <w:rPr>
                <w:sz w:val="18"/>
                <w:szCs w:val="20"/>
              </w:rPr>
              <w:t>Adolescentes en conflicto con la ley penal bajo una medida socioeducativa atendidos para su reinserción y resocialización</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t>3,400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2,490</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1,200</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cnfStyle w:val="000000000000" w:firstRow="0" w:lastRow="0" w:firstColumn="0" w:lastColumn="0" w:oddVBand="0" w:evenVBand="0" w:oddHBand="0" w:evenHBand="0" w:firstRowFirstColumn="0" w:firstRowLastColumn="0" w:lastRowFirstColumn="0" w:lastRowLastColumn="0"/>
              <w:rPr>
                <w:sz w:val="18"/>
                <w:szCs w:val="20"/>
              </w:rPr>
            </w:pPr>
            <w:r w:rsidRPr="003303E4">
              <w:rPr>
                <w:sz w:val="18"/>
                <w:szCs w:val="20"/>
              </w:rPr>
              <w:t>1,200</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48.19</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val="restart"/>
          </w:tcPr>
          <w:p w:rsidR="00A461AF" w:rsidRPr="003303E4" w:rsidRDefault="00A461AF" w:rsidP="009F4BC5">
            <w:pPr>
              <w:tabs>
                <w:tab w:val="center" w:pos="4362"/>
              </w:tabs>
              <w:jc w:val="left"/>
              <w:rPr>
                <w:rFonts w:eastAsia="Times New Roman" w:cs="Times New Roman"/>
                <w:sz w:val="18"/>
                <w:szCs w:val="20"/>
                <w:lang w:eastAsia="es-ES"/>
              </w:rPr>
            </w:pPr>
            <w:r w:rsidRPr="003303E4">
              <w:rPr>
                <w:sz w:val="18"/>
                <w:szCs w:val="20"/>
              </w:rPr>
              <w:t>Para el 2026 se ha incrementado la cobertura de programas de preservación familiar a 18 años de 0 año en 2017 a 18 año en 2026, del</w:t>
            </w:r>
            <w:r w:rsidRPr="003303E4">
              <w:rPr>
                <w:rFonts w:cs="Courier"/>
                <w:sz w:val="18"/>
                <w:szCs w:val="20"/>
              </w:rPr>
              <w:t xml:space="preserve"> </w:t>
            </w:r>
            <w:r w:rsidRPr="003303E4">
              <w:rPr>
                <w:rFonts w:cs="Candara"/>
                <w:sz w:val="18"/>
                <w:szCs w:val="20"/>
              </w:rPr>
              <w:t>Programa de Preservación Familiar, Fortalecimiento y Apoyo Comunitario.</w:t>
            </w:r>
            <w:r w:rsidRPr="003303E4">
              <w:rPr>
                <w:rFonts w:cs="Courier"/>
                <w:sz w:val="18"/>
                <w:szCs w:val="20"/>
              </w:rPr>
              <w:t xml:space="preserve">                      </w:t>
            </w: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sz w:val="18"/>
                <w:szCs w:val="20"/>
              </w:rPr>
            </w:pPr>
            <w:r w:rsidRPr="003303E4">
              <w:rPr>
                <w:rFonts w:cs="Arial"/>
                <w:color w:val="000000" w:themeColor="text1"/>
                <w:sz w:val="18"/>
                <w:szCs w:val="20"/>
              </w:rPr>
              <w:t>Niñas y niños de 8 meses a 12 años atendidos integralmente</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t>4,847</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4,143</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2,789</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cnfStyle w:val="000000100000" w:firstRow="0" w:lastRow="0" w:firstColumn="0" w:lastColumn="0" w:oddVBand="0" w:evenVBand="0" w:oddHBand="1" w:evenHBand="0" w:firstRowFirstColumn="0" w:firstRowLastColumn="0" w:lastRowFirstColumn="0" w:lastRowLastColumn="0"/>
              <w:rPr>
                <w:sz w:val="18"/>
                <w:szCs w:val="20"/>
              </w:rPr>
            </w:pPr>
            <w:r w:rsidRPr="003303E4">
              <w:rPr>
                <w:sz w:val="18"/>
                <w:szCs w:val="20"/>
              </w:rPr>
              <w:t>2,789</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67.32</w:t>
            </w:r>
          </w:p>
        </w:tc>
      </w:tr>
      <w:tr w:rsidR="00A461AF" w:rsidRPr="003303E4" w:rsidTr="003C59D5">
        <w:trPr>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cs="Arial"/>
                <w:color w:val="000000" w:themeColor="text1"/>
                <w:sz w:val="18"/>
                <w:szCs w:val="20"/>
              </w:rPr>
              <w:t>Niñas y niños de 0 a 14 años con discapacidad física e intelectual leve y moderada atendidos con educación especial atención integral y apoyo familiar</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t>850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550</w:t>
            </w:r>
          </w:p>
        </w:tc>
        <w:tc>
          <w:tcPr>
            <w:tcW w:w="1276" w:type="dxa"/>
          </w:tcPr>
          <w:p w:rsidR="00A461AF" w:rsidRPr="003303E4" w:rsidRDefault="00A461AF" w:rsidP="009F4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3,89</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389</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70.73</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20"/>
              </w:rPr>
            </w:pPr>
            <w:r w:rsidRPr="003303E4">
              <w:rPr>
                <w:sz w:val="18"/>
                <w:szCs w:val="20"/>
              </w:rPr>
              <w:t>Adolescentes de 14 a 18 años con discapacidad física e intelectual leve y moderada capacitados en temas laborales y ocupacionales</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t>150</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90</w:t>
            </w:r>
          </w:p>
        </w:tc>
        <w:tc>
          <w:tcPr>
            <w:tcW w:w="1276" w:type="dxa"/>
          </w:tcPr>
          <w:p w:rsidR="00A461AF" w:rsidRPr="003303E4" w:rsidRDefault="00A461AF" w:rsidP="009F4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86</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86</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95.56</w:t>
            </w:r>
          </w:p>
        </w:tc>
      </w:tr>
      <w:tr w:rsidR="00A461AF" w:rsidRPr="003303E4" w:rsidTr="003C59D5">
        <w:trPr>
          <w:trHeight w:val="1173"/>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nil"/>
            </w:tcBorders>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20"/>
              </w:rPr>
            </w:pPr>
            <w:r w:rsidRPr="003303E4">
              <w:rPr>
                <w:sz w:val="18"/>
                <w:szCs w:val="20"/>
              </w:rPr>
              <w:t>Niñas niños y adolescentes con necesidades especiales enfermedades crónicas degenerativas o discapacidad beneficiados con aportes económicos</w:t>
            </w:r>
          </w:p>
        </w:tc>
        <w:tc>
          <w:tcPr>
            <w:tcW w:w="709"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20"/>
              </w:rPr>
            </w:pPr>
            <w:r w:rsidRPr="003303E4">
              <w:rPr>
                <w:rFonts w:eastAsia="Calibri" w:cs="Arial"/>
                <w:sz w:val="18"/>
                <w:szCs w:val="20"/>
              </w:rPr>
              <w:t>2,500</w:t>
            </w:r>
          </w:p>
        </w:tc>
        <w:tc>
          <w:tcPr>
            <w:tcW w:w="850"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2,600</w:t>
            </w:r>
          </w:p>
        </w:tc>
        <w:tc>
          <w:tcPr>
            <w:tcW w:w="1276" w:type="dxa"/>
          </w:tcPr>
          <w:p w:rsidR="00A461AF" w:rsidRPr="003303E4" w:rsidRDefault="00A461AF" w:rsidP="009F4B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3,048</w:t>
            </w:r>
          </w:p>
        </w:tc>
        <w:tc>
          <w:tcPr>
            <w:tcW w:w="1276"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00</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3,048</w:t>
            </w:r>
          </w:p>
        </w:tc>
        <w:tc>
          <w:tcPr>
            <w:tcW w:w="992" w:type="dxa"/>
          </w:tcPr>
          <w:p w:rsidR="00A461AF" w:rsidRPr="003303E4" w:rsidRDefault="00A461AF" w:rsidP="009F4BC5">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117.23</w:t>
            </w:r>
          </w:p>
        </w:tc>
      </w:tr>
      <w:tr w:rsidR="00A461AF" w:rsidRPr="003303E4" w:rsidTr="003C59D5">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1843" w:type="dxa"/>
            <w:vMerge/>
            <w:tcBorders>
              <w:top w:val="nil"/>
            </w:tcBorders>
          </w:tcPr>
          <w:p w:rsidR="00A461AF" w:rsidRPr="003303E4" w:rsidRDefault="00A461AF" w:rsidP="009F4BC5">
            <w:pPr>
              <w:tabs>
                <w:tab w:val="center" w:pos="4362"/>
              </w:tabs>
              <w:jc w:val="left"/>
              <w:rPr>
                <w:rFonts w:eastAsia="Times New Roman" w:cs="Times New Roman"/>
                <w:sz w:val="18"/>
                <w:szCs w:val="20"/>
                <w:lang w:eastAsia="es-ES"/>
              </w:rPr>
            </w:pPr>
          </w:p>
        </w:tc>
        <w:tc>
          <w:tcPr>
            <w:tcW w:w="2410" w:type="dxa"/>
          </w:tcPr>
          <w:p w:rsidR="00A461AF" w:rsidRPr="003303E4" w:rsidRDefault="00A461AF" w:rsidP="008C176E">
            <w:pPr>
              <w:tabs>
                <w:tab w:val="center" w:pos="4362"/>
              </w:tabs>
              <w:jc w:val="left"/>
              <w:cnfStyle w:val="000000100000" w:firstRow="0" w:lastRow="0" w:firstColumn="0" w:lastColumn="0" w:oddVBand="0" w:evenVBand="0" w:oddHBand="1" w:evenHBand="0" w:firstRowFirstColumn="0" w:firstRowLastColumn="0" w:lastRowFirstColumn="0" w:lastRowLastColumn="0"/>
              <w:rPr>
                <w:sz w:val="18"/>
                <w:szCs w:val="20"/>
              </w:rPr>
            </w:pPr>
            <w:r w:rsidRPr="003303E4">
              <w:rPr>
                <w:sz w:val="18"/>
                <w:szCs w:val="20"/>
              </w:rPr>
              <w:t xml:space="preserve">Centros de Cuidado Infantil Diario que atienden niños y niñas de 0 a 4 años </w:t>
            </w:r>
            <w:r w:rsidRPr="003303E4">
              <w:rPr>
                <w:sz w:val="18"/>
                <w:szCs w:val="20"/>
              </w:rPr>
              <w:lastRenderedPageBreak/>
              <w:t>regulados</w:t>
            </w:r>
          </w:p>
        </w:tc>
        <w:tc>
          <w:tcPr>
            <w:tcW w:w="709"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20"/>
              </w:rPr>
            </w:pPr>
            <w:r w:rsidRPr="003303E4">
              <w:rPr>
                <w:rFonts w:eastAsia="Calibri" w:cs="Arial"/>
                <w:sz w:val="18"/>
                <w:szCs w:val="20"/>
              </w:rPr>
              <w:lastRenderedPageBreak/>
              <w:t>305</w:t>
            </w:r>
          </w:p>
        </w:tc>
        <w:tc>
          <w:tcPr>
            <w:tcW w:w="850"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305</w:t>
            </w:r>
          </w:p>
        </w:tc>
        <w:tc>
          <w:tcPr>
            <w:tcW w:w="1276" w:type="dxa"/>
          </w:tcPr>
          <w:p w:rsidR="00A461AF" w:rsidRPr="003303E4" w:rsidRDefault="00A461AF" w:rsidP="009F4B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214</w:t>
            </w:r>
          </w:p>
        </w:tc>
        <w:tc>
          <w:tcPr>
            <w:tcW w:w="1276"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88</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302</w:t>
            </w:r>
          </w:p>
        </w:tc>
        <w:tc>
          <w:tcPr>
            <w:tcW w:w="992" w:type="dxa"/>
          </w:tcPr>
          <w:p w:rsidR="00A461AF" w:rsidRPr="003303E4" w:rsidRDefault="00A461AF" w:rsidP="009F4BC5">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20"/>
                <w:lang w:eastAsia="es-ES"/>
              </w:rPr>
            </w:pPr>
            <w:r w:rsidRPr="003303E4">
              <w:rPr>
                <w:rFonts w:eastAsia="Times New Roman" w:cs="Times New Roman"/>
                <w:sz w:val="18"/>
                <w:szCs w:val="20"/>
                <w:lang w:eastAsia="es-ES"/>
              </w:rPr>
              <w:t>99.02</w:t>
            </w:r>
          </w:p>
        </w:tc>
      </w:tr>
    </w:tbl>
    <w:p w:rsidR="00A461AF" w:rsidRPr="0085409D" w:rsidRDefault="00A461AF" w:rsidP="0085409D">
      <w:pPr>
        <w:tabs>
          <w:tab w:val="center" w:pos="4362"/>
        </w:tabs>
        <w:spacing w:after="0" w:line="240" w:lineRule="auto"/>
        <w:jc w:val="left"/>
        <w:rPr>
          <w:rFonts w:eastAsia="Times New Roman" w:cs="Times New Roman"/>
          <w:b/>
          <w:sz w:val="20"/>
          <w:szCs w:val="18"/>
          <w:lang w:eastAsia="zh-CN"/>
        </w:rPr>
      </w:pPr>
      <w:r w:rsidRPr="0085409D">
        <w:rPr>
          <w:rFonts w:eastAsia="Calibri" w:cs="Times New Roman"/>
          <w:sz w:val="20"/>
          <w:szCs w:val="18"/>
        </w:rPr>
        <w:lastRenderedPageBreak/>
        <w:t>Fuente: Elaboración SEGEPLAN con base datos de SIPLAN de fecha 3/9/2019 y SICOIN de fecha 5/09/2019</w:t>
      </w:r>
    </w:p>
    <w:p w:rsidR="00A461AF" w:rsidRPr="007223FB" w:rsidRDefault="00A461AF" w:rsidP="003303E4">
      <w:pPr>
        <w:autoSpaceDE w:val="0"/>
        <w:autoSpaceDN w:val="0"/>
        <w:adjustRightInd w:val="0"/>
        <w:spacing w:before="120" w:after="120" w:line="240" w:lineRule="auto"/>
        <w:rPr>
          <w:rFonts w:cs="Arial"/>
          <w:color w:val="000000" w:themeColor="text1"/>
        </w:rPr>
      </w:pPr>
      <w:r w:rsidRPr="007223FB">
        <w:rPr>
          <w:rFonts w:cs="Candara"/>
          <w:color w:val="000000" w:themeColor="text1"/>
        </w:rPr>
        <w:t xml:space="preserve">La Unidad de Genero de la SBS, no tiene </w:t>
      </w:r>
      <w:r w:rsidRPr="007223FB">
        <w:rPr>
          <w:rFonts w:cs="Arial"/>
          <w:color w:val="000000" w:themeColor="text1"/>
        </w:rPr>
        <w:t>resultado institucional, sin embargo d</w:t>
      </w:r>
      <w:r w:rsidRPr="007223FB">
        <w:rPr>
          <w:rFonts w:cs="Candara"/>
          <w:color w:val="000000" w:themeColor="text1"/>
        </w:rPr>
        <w:t>efinió  productos:</w:t>
      </w:r>
      <w:r w:rsidRPr="007223FB">
        <w:rPr>
          <w:color w:val="000000" w:themeColor="text1"/>
        </w:rPr>
        <w:t xml:space="preserve"> </w:t>
      </w:r>
      <w:r w:rsidRPr="007223FB">
        <w:rPr>
          <w:rFonts w:cs="Arial"/>
          <w:color w:val="000000" w:themeColor="text1"/>
        </w:rPr>
        <w:t xml:space="preserve">Personas atendidas y capacitadas bajo los ejes de las políticas de género y Gabinete Especifico de la Mujer, con una meta vigente de 2,8oo, con un avance físico del </w:t>
      </w:r>
      <w:r w:rsidR="00582D3F">
        <w:rPr>
          <w:rFonts w:cs="Arial"/>
          <w:color w:val="000000" w:themeColor="text1"/>
        </w:rPr>
        <w:t>17.75% y la ejecución financiera</w:t>
      </w:r>
      <w:r w:rsidRPr="007223FB">
        <w:rPr>
          <w:rFonts w:cs="Arial"/>
          <w:color w:val="000000" w:themeColor="text1"/>
        </w:rPr>
        <w:t xml:space="preserve"> es de 22.99% y la Descentralización de procesos administrativos y técnicos de los servicios, con un avance de meta vigente de 11,460, su avance físico es de 75.36% del segundo cuatri</w:t>
      </w:r>
      <w:r w:rsidR="00582D3F">
        <w:rPr>
          <w:rFonts w:cs="Arial"/>
          <w:color w:val="000000" w:themeColor="text1"/>
        </w:rPr>
        <w:t>mestre y su ejecución financiera</w:t>
      </w:r>
      <w:r w:rsidRPr="007223FB">
        <w:rPr>
          <w:rFonts w:cs="Arial"/>
          <w:color w:val="000000" w:themeColor="text1"/>
        </w:rPr>
        <w:t xml:space="preserve"> es de 10.79% y definieron cuatro subproducto con cero avance físico, para el cumplimiento </w:t>
      </w:r>
      <w:r w:rsidRPr="007223FB">
        <w:rPr>
          <w:rFonts w:cs="Candara"/>
          <w:color w:val="000000" w:themeColor="text1"/>
        </w:rPr>
        <w:t>de la Política Nacional de Promoción y Desarrollo Integral de las Mujeres (PNPDIM), Plan de Equidad de Oportunidades 2008-2023</w:t>
      </w:r>
      <w:r w:rsidR="00582D3F">
        <w:rPr>
          <w:rFonts w:cs="Candara"/>
          <w:color w:val="000000" w:themeColor="text1"/>
        </w:rPr>
        <w:t>.</w:t>
      </w:r>
    </w:p>
    <w:p w:rsidR="00A461AF" w:rsidRPr="007223FB" w:rsidRDefault="00582D3F" w:rsidP="003303E4">
      <w:pPr>
        <w:spacing w:before="120" w:after="120" w:line="240" w:lineRule="auto"/>
        <w:rPr>
          <w:rFonts w:eastAsia="Calibri" w:cs="Candara"/>
          <w:color w:val="000000" w:themeColor="text1"/>
          <w:lang w:eastAsia="es-GT"/>
        </w:rPr>
      </w:pPr>
      <w:r>
        <w:rPr>
          <w:rFonts w:cs="Candara"/>
          <w:color w:val="000000" w:themeColor="text1"/>
        </w:rPr>
        <w:t>La SBS; tiene asignado un presupuesto</w:t>
      </w:r>
      <w:r w:rsidR="00A461AF" w:rsidRPr="007223FB">
        <w:rPr>
          <w:rFonts w:cs="Candara"/>
          <w:color w:val="000000" w:themeColor="text1"/>
        </w:rPr>
        <w:t xml:space="preserve"> </w:t>
      </w:r>
      <w:r w:rsidR="008A2B69" w:rsidRPr="007223FB">
        <w:rPr>
          <w:rFonts w:cs="Candara"/>
          <w:color w:val="000000" w:themeColor="text1"/>
        </w:rPr>
        <w:t>vigente de</w:t>
      </w:r>
      <w:r w:rsidR="00A461AF" w:rsidRPr="007223FB">
        <w:rPr>
          <w:rFonts w:cs="Candara"/>
          <w:color w:val="000000" w:themeColor="text1"/>
        </w:rPr>
        <w:t xml:space="preserve"> Q295.25 millones de los cuales se registra una ejecución acumulada de enero-agosto de Q.176.64 millones equivalente a Q.59.83%, producto de </w:t>
      </w:r>
      <w:r w:rsidR="008A2B69" w:rsidRPr="007223FB">
        <w:rPr>
          <w:rFonts w:cs="Candara"/>
          <w:color w:val="000000" w:themeColor="text1"/>
        </w:rPr>
        <w:t>la ejecución</w:t>
      </w:r>
      <w:r w:rsidR="00A461AF" w:rsidRPr="007223FB">
        <w:rPr>
          <w:rFonts w:cs="Candara"/>
          <w:color w:val="000000" w:themeColor="text1"/>
        </w:rPr>
        <w:t xml:space="preserve"> </w:t>
      </w:r>
      <w:r w:rsidR="008A2B69" w:rsidRPr="007223FB">
        <w:rPr>
          <w:rFonts w:cs="Candara"/>
          <w:color w:val="000000" w:themeColor="text1"/>
        </w:rPr>
        <w:t>del primer</w:t>
      </w:r>
      <w:r w:rsidR="00A461AF" w:rsidRPr="007223FB">
        <w:rPr>
          <w:rFonts w:cs="Candara"/>
          <w:color w:val="000000" w:themeColor="text1"/>
        </w:rPr>
        <w:t xml:space="preserve"> cuatrimestre es de Q 74.71 millones </w:t>
      </w:r>
      <w:r w:rsidR="008A2B69" w:rsidRPr="007223FB">
        <w:rPr>
          <w:rFonts w:cs="Candara"/>
          <w:color w:val="000000" w:themeColor="text1"/>
        </w:rPr>
        <w:t>equivalente a</w:t>
      </w:r>
      <w:r w:rsidR="00A461AF" w:rsidRPr="007223FB">
        <w:rPr>
          <w:rFonts w:cs="Candara"/>
          <w:color w:val="000000" w:themeColor="text1"/>
        </w:rPr>
        <w:t xml:space="preserve"> 25.31%, de enero-abril </w:t>
      </w:r>
      <w:r w:rsidR="008A2B69" w:rsidRPr="007223FB">
        <w:rPr>
          <w:rFonts w:cs="Candara"/>
          <w:color w:val="000000" w:themeColor="text1"/>
        </w:rPr>
        <w:t xml:space="preserve">y </w:t>
      </w:r>
      <w:r w:rsidR="008A2B69" w:rsidRPr="007223FB">
        <w:rPr>
          <w:rFonts w:eastAsia="Calibri" w:cs="Candara"/>
          <w:color w:val="000000" w:themeColor="text1"/>
          <w:lang w:eastAsia="es-GT"/>
        </w:rPr>
        <w:t>el</w:t>
      </w:r>
      <w:r w:rsidR="00A461AF" w:rsidRPr="007223FB">
        <w:rPr>
          <w:rFonts w:eastAsia="Calibri" w:cs="Candara"/>
          <w:color w:val="000000" w:themeColor="text1"/>
          <w:lang w:eastAsia="es-GT"/>
        </w:rPr>
        <w:t xml:space="preserve"> segundo </w:t>
      </w:r>
      <w:r w:rsidR="008A2B69" w:rsidRPr="007223FB">
        <w:rPr>
          <w:rFonts w:eastAsia="Calibri" w:cs="Candara"/>
          <w:color w:val="000000" w:themeColor="text1"/>
          <w:lang w:eastAsia="es-GT"/>
        </w:rPr>
        <w:t>cuatrimestre de</w:t>
      </w:r>
      <w:r w:rsidR="00A461AF" w:rsidRPr="007223FB">
        <w:rPr>
          <w:rFonts w:eastAsia="Calibri" w:cs="Candara"/>
          <w:color w:val="000000" w:themeColor="text1"/>
          <w:lang w:eastAsia="es-GT"/>
        </w:rPr>
        <w:t xml:space="preserve"> mayo-agosto es de Q.101.92 millones equivalente al 34.52% de su ejecución</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de Coordinación Ejecutiva de la Presidencia</w:t>
      </w:r>
      <w:r w:rsidR="008C176E" w:rsidRPr="007223FB">
        <w:rPr>
          <w:b/>
          <w:lang w:val="es-ES" w:eastAsia="es-GT"/>
        </w:rPr>
        <w:t xml:space="preserve"> –SCEP-</w:t>
      </w:r>
    </w:p>
    <w:p w:rsidR="008C176E" w:rsidRPr="007223FB" w:rsidRDefault="008C176E" w:rsidP="003303E4">
      <w:pPr>
        <w:autoSpaceDE w:val="0"/>
        <w:autoSpaceDN w:val="0"/>
        <w:adjustRightInd w:val="0"/>
        <w:spacing w:before="120" w:after="120" w:line="240" w:lineRule="auto"/>
        <w:rPr>
          <w:rFonts w:cs="Candara"/>
        </w:rPr>
      </w:pPr>
      <w:r w:rsidRPr="007223FB">
        <w:rPr>
          <w:rFonts w:cs="Candara"/>
        </w:rPr>
        <w:t>La Secretaría de Coordinación Ejecutiva de la Presidencia (SCEP), como la entidad pública comprometida con el desarrollo nacional, responsable de colaborar con el Presidente de la República en coordinar, dirigir y fortalecer el Sistema de Consejos de Desarrollo y dar impulso al proceso de descentralización del Organismo Ejecutivo.</w:t>
      </w:r>
    </w:p>
    <w:p w:rsidR="008C176E" w:rsidRPr="007223FB" w:rsidRDefault="008C176E" w:rsidP="003303E4">
      <w:pPr>
        <w:autoSpaceDE w:val="0"/>
        <w:autoSpaceDN w:val="0"/>
        <w:adjustRightInd w:val="0"/>
        <w:spacing w:before="120" w:after="120" w:line="240" w:lineRule="auto"/>
        <w:rPr>
          <w:rFonts w:cs="Candara"/>
        </w:rPr>
      </w:pPr>
      <w:r w:rsidRPr="007223FB">
        <w:rPr>
          <w:rFonts w:cs="Candara"/>
        </w:rPr>
        <w:t>La SCEP en cumplimiento a su mandato, define un Resultado Institucional “Para el 2023, se incrementan las capacidades técnicas del Sistema de Consejos de Desarrollo en los niveles Nacional, Regional y Departamental de un 61% en el 2015 a un 100% para contribuir con el desarrollo urbano y rural del país”, la institución no reportó avance obtenido en el resultado a agosto 2019.</w:t>
      </w:r>
    </w:p>
    <w:p w:rsidR="008C176E" w:rsidRPr="007223FB" w:rsidRDefault="008C176E" w:rsidP="003303E4">
      <w:pPr>
        <w:autoSpaceDE w:val="0"/>
        <w:autoSpaceDN w:val="0"/>
        <w:adjustRightInd w:val="0"/>
        <w:spacing w:before="120" w:after="120" w:line="240" w:lineRule="auto"/>
        <w:rPr>
          <w:rFonts w:cs="Candara"/>
        </w:rPr>
      </w:pPr>
      <w:r w:rsidRPr="007223FB">
        <w:rPr>
          <w:rFonts w:cs="Candara"/>
        </w:rPr>
        <w:t>Para el segundo cuatrimestre y el acumulado a agosto del 2019, la SCEP registra una ejecución de metas físicas y financieras para sus productos de acuerdo a lo programado en el POA 2019</w:t>
      </w:r>
    </w:p>
    <w:p w:rsidR="008C176E" w:rsidRPr="007223FB" w:rsidRDefault="008C176E" w:rsidP="003303E4">
      <w:pPr>
        <w:autoSpaceDE w:val="0"/>
        <w:autoSpaceDN w:val="0"/>
        <w:adjustRightInd w:val="0"/>
        <w:spacing w:before="120" w:after="120" w:line="240" w:lineRule="auto"/>
        <w:rPr>
          <w:rFonts w:cs="Candara"/>
        </w:rPr>
      </w:pPr>
      <w:r w:rsidRPr="007223FB">
        <w:rPr>
          <w:rFonts w:cs="Candara"/>
        </w:rPr>
        <w:t>Para el ejercicio fiscal 2019, a la SCEP le fue asignado un presupuesto de Q38.55 millones el cual tuvo un incremento de Q0.813 millones, por lo que el presupuesto vigente a agosto 2019 fue de Q39.36 millones. La ejecución de mayo a agosto fue de Q12.50 millones equivalente al 31.76% de avance y la ejecución acumulada de enero a agosto fue de Q24.65 millones equivalente al 62.63%, por lo que tiene pendiente de ejecutar un 37.37%.</w:t>
      </w:r>
    </w:p>
    <w:p w:rsidR="008C176E" w:rsidRPr="007223FB" w:rsidRDefault="008C176E" w:rsidP="003303E4">
      <w:pPr>
        <w:spacing w:before="120" w:after="120" w:line="240" w:lineRule="auto"/>
        <w:rPr>
          <w:rFonts w:cs="Candara"/>
        </w:rPr>
      </w:pPr>
      <w:r w:rsidRPr="007223FB">
        <w:rPr>
          <w:rFonts w:cs="Candara"/>
        </w:rPr>
        <w:t>El reto más importante para la SCEP para el tercer cuatrimestre del 2019, es poder medir el avance alcanzado del Resultado Institucional planteado.</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de Comunicación Social de la Presidencia</w:t>
      </w:r>
      <w:r w:rsidR="008C176E" w:rsidRPr="007223FB">
        <w:rPr>
          <w:b/>
          <w:lang w:val="es-ES" w:eastAsia="es-GT"/>
        </w:rPr>
        <w:t xml:space="preserve"> –SCSP-</w:t>
      </w:r>
    </w:p>
    <w:p w:rsidR="0082157E" w:rsidRPr="007223FB" w:rsidRDefault="0082157E"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 xml:space="preserve">La Secretaría de Comunicación Social de la Presidencia (SCSP); tiene la función de servir como vínculo de información con los medios de comunicación social, formular, coordinar y ejecutar la Política de comunicación del Gobierno de la República. En función de su mandato legal, le corresponde impulsar y ejecutar toda aquella acción o programa orientado a informar públicamente de las actividades y planes del Ejecutivo y en específico de la Presidencia de la República; conforme lo establece la Ley de Desarrollo Social tiene la responsabilidad </w:t>
      </w:r>
      <w:r w:rsidR="0078706E" w:rsidRPr="007223FB">
        <w:rPr>
          <w:rFonts w:cs="Candara"/>
          <w:color w:val="000000" w:themeColor="text1"/>
        </w:rPr>
        <w:t>de promover</w:t>
      </w:r>
      <w:r w:rsidRPr="007223FB">
        <w:rPr>
          <w:rFonts w:cs="Candara"/>
          <w:color w:val="000000" w:themeColor="text1"/>
        </w:rPr>
        <w:t xml:space="preserve"> y apoyar el uso de los medios masivos de comunicación, para difundir mensajes con el propósito de educar, orientar e informar a la población sobre los temas normados en dicha Ley.</w:t>
      </w:r>
    </w:p>
    <w:p w:rsidR="0082157E" w:rsidRPr="007223FB" w:rsidRDefault="0082157E" w:rsidP="003303E4">
      <w:pPr>
        <w:autoSpaceDE w:val="0"/>
        <w:autoSpaceDN w:val="0"/>
        <w:adjustRightInd w:val="0"/>
        <w:spacing w:before="120" w:after="120" w:line="240" w:lineRule="auto"/>
        <w:rPr>
          <w:color w:val="000000" w:themeColor="text1"/>
        </w:rPr>
      </w:pPr>
      <w:r w:rsidRPr="007223FB">
        <w:rPr>
          <w:rFonts w:cstheme="minorHAnsi"/>
          <w:color w:val="000000" w:themeColor="text1"/>
        </w:rPr>
        <w:lastRenderedPageBreak/>
        <w:t>La Secretaría planteo un resultado institucional:</w:t>
      </w:r>
      <w:r w:rsidRPr="007223FB">
        <w:rPr>
          <w:color w:val="000000" w:themeColor="text1"/>
        </w:rPr>
        <w:t xml:space="preserve"> Divulgación e información sobre las actividades de Gobierno de acuerdo con la Política de Comunicación del Gobierno de la República, este resultado </w:t>
      </w:r>
      <w:r w:rsidRPr="007223FB">
        <w:rPr>
          <w:rFonts w:cstheme="minorHAnsi"/>
          <w:color w:val="000000" w:themeColor="text1"/>
        </w:rPr>
        <w:t xml:space="preserve">registrada </w:t>
      </w:r>
      <w:r w:rsidRPr="007223FB">
        <w:rPr>
          <w:color w:val="000000" w:themeColor="text1"/>
        </w:rPr>
        <w:t>dos productos y siete subproductos: 1) Dirección y Coordinación, con un avance física  de 66.67%  y lo financiera con el avance de 51.29% y  2)</w:t>
      </w:r>
      <w:r w:rsidRPr="007223FB">
        <w:t xml:space="preserve"> Difusión de acciones de Gobierno para informar a la población a través de medios de comunicación</w:t>
      </w:r>
      <w:r w:rsidRPr="007223FB">
        <w:rPr>
          <w:color w:val="000000" w:themeColor="text1"/>
        </w:rPr>
        <w:t>, con el avance del física de 52.54%</w:t>
      </w:r>
      <w:r w:rsidRPr="007223FB">
        <w:rPr>
          <w:rFonts w:cs="Candara"/>
          <w:color w:val="000000" w:themeColor="text1"/>
        </w:rPr>
        <w:t xml:space="preserve"> y su ejecución financiera es de 37.81% de su presupuesto vigente, para dar a conocer, divulgar y transmitir a los distintos medios de información nacionales e internacional la información relacionada a las actividades y planes de gobierno.</w:t>
      </w:r>
    </w:p>
    <w:p w:rsidR="0082157E" w:rsidRPr="007223FB" w:rsidRDefault="0078706E" w:rsidP="003303E4">
      <w:pPr>
        <w:spacing w:before="120" w:after="120" w:line="240" w:lineRule="auto"/>
        <w:rPr>
          <w:rFonts w:eastAsia="Calibri" w:cs="Candara"/>
          <w:color w:val="000000" w:themeColor="text1"/>
          <w:lang w:eastAsia="es-GT"/>
        </w:rPr>
      </w:pPr>
      <w:r w:rsidRPr="007223FB">
        <w:rPr>
          <w:rFonts w:cs="Candara"/>
          <w:color w:val="000000" w:themeColor="text1"/>
        </w:rPr>
        <w:t>La SCSP</w:t>
      </w:r>
      <w:r w:rsidR="0082157E" w:rsidRPr="007223FB">
        <w:rPr>
          <w:rFonts w:cs="Candara"/>
          <w:color w:val="000000" w:themeColor="text1"/>
        </w:rPr>
        <w:t xml:space="preserve">; tiene un presupuesto </w:t>
      </w:r>
      <w:r w:rsidRPr="007223FB">
        <w:rPr>
          <w:rFonts w:cs="Candara"/>
          <w:color w:val="000000" w:themeColor="text1"/>
        </w:rPr>
        <w:t>vigente de</w:t>
      </w:r>
      <w:r w:rsidR="0082157E" w:rsidRPr="007223FB">
        <w:rPr>
          <w:rFonts w:cs="Candara"/>
          <w:color w:val="000000" w:themeColor="text1"/>
        </w:rPr>
        <w:t xml:space="preserve"> Q 40.00 millones, la cual se observa </w:t>
      </w:r>
      <w:r w:rsidRPr="007223FB">
        <w:rPr>
          <w:rFonts w:cs="Candara"/>
          <w:color w:val="000000" w:themeColor="text1"/>
        </w:rPr>
        <w:t>la ejecución</w:t>
      </w:r>
      <w:r w:rsidR="0082157E" w:rsidRPr="007223FB">
        <w:rPr>
          <w:rFonts w:cs="Candara"/>
          <w:color w:val="000000" w:themeColor="text1"/>
        </w:rPr>
        <w:t xml:space="preserve"> acumulada de enero-agosto de Q.17.66 millones equivalente a Q.44.16%, producto de la ejecución del primer cuatrimestre de Q7.80 millones </w:t>
      </w:r>
      <w:r w:rsidRPr="007223FB">
        <w:rPr>
          <w:rFonts w:cs="Candara"/>
          <w:color w:val="000000" w:themeColor="text1"/>
        </w:rPr>
        <w:t>equivalente a</w:t>
      </w:r>
      <w:r w:rsidR="0082157E" w:rsidRPr="007223FB">
        <w:rPr>
          <w:rFonts w:cs="Candara"/>
          <w:color w:val="000000" w:themeColor="text1"/>
        </w:rPr>
        <w:t xml:space="preserve"> 19.51</w:t>
      </w:r>
      <w:r w:rsidRPr="007223FB">
        <w:rPr>
          <w:rFonts w:cs="Candara"/>
          <w:color w:val="000000" w:themeColor="text1"/>
        </w:rPr>
        <w:t>% de</w:t>
      </w:r>
      <w:r w:rsidR="0082157E" w:rsidRPr="007223FB">
        <w:rPr>
          <w:rFonts w:cs="Candara"/>
          <w:color w:val="000000" w:themeColor="text1"/>
        </w:rPr>
        <w:t xml:space="preserve"> enero-abril </w:t>
      </w:r>
      <w:r w:rsidRPr="007223FB">
        <w:rPr>
          <w:rFonts w:cs="Candara"/>
          <w:color w:val="000000" w:themeColor="text1"/>
        </w:rPr>
        <w:t xml:space="preserve">y </w:t>
      </w:r>
      <w:r w:rsidRPr="007223FB">
        <w:rPr>
          <w:rFonts w:eastAsia="Calibri" w:cs="Candara"/>
          <w:color w:val="000000" w:themeColor="text1"/>
          <w:lang w:eastAsia="es-GT"/>
        </w:rPr>
        <w:t>en</w:t>
      </w:r>
      <w:r w:rsidR="0082157E" w:rsidRPr="007223FB">
        <w:rPr>
          <w:rFonts w:eastAsia="Calibri" w:cs="Candara"/>
          <w:color w:val="000000" w:themeColor="text1"/>
          <w:lang w:eastAsia="es-GT"/>
        </w:rPr>
        <w:t xml:space="preserve"> el segundo </w:t>
      </w:r>
      <w:r w:rsidRPr="007223FB">
        <w:rPr>
          <w:rFonts w:eastAsia="Calibri" w:cs="Candara"/>
          <w:color w:val="000000" w:themeColor="text1"/>
          <w:lang w:eastAsia="es-GT"/>
        </w:rPr>
        <w:t>cuatrimestre de</w:t>
      </w:r>
      <w:r w:rsidR="0082157E" w:rsidRPr="007223FB">
        <w:rPr>
          <w:rFonts w:eastAsia="Calibri" w:cs="Candara"/>
          <w:color w:val="000000" w:themeColor="text1"/>
          <w:lang w:eastAsia="es-GT"/>
        </w:rPr>
        <w:t xml:space="preserve"> mayo-agosto es de Q.9.85 millones equivalente al 24.65% de su ejecución financiera.</w:t>
      </w:r>
    </w:p>
    <w:p w:rsidR="0078706E" w:rsidRPr="007223FB" w:rsidRDefault="0078706E" w:rsidP="000B07D9">
      <w:pPr>
        <w:pStyle w:val="Prrafodelista"/>
        <w:numPr>
          <w:ilvl w:val="0"/>
          <w:numId w:val="5"/>
        </w:numPr>
        <w:spacing w:before="120" w:after="120" w:line="240" w:lineRule="auto"/>
        <w:contextualSpacing w:val="0"/>
        <w:rPr>
          <w:b/>
          <w:lang w:eastAsia="es-GT"/>
        </w:rPr>
      </w:pPr>
      <w:r w:rsidRPr="007223FB">
        <w:rPr>
          <w:b/>
          <w:lang w:val="es-ES" w:eastAsia="es-GT"/>
        </w:rPr>
        <w:t>Secretaria Ejecutiva de la Comisión contra las Adicciones y el Tráfico Ilícito de Drogas –SECCATID</w:t>
      </w:r>
    </w:p>
    <w:p w:rsidR="00821AF9" w:rsidRPr="007223FB" w:rsidRDefault="002A7644" w:rsidP="003303E4">
      <w:pPr>
        <w:spacing w:before="120" w:after="120" w:line="240" w:lineRule="auto"/>
        <w:rPr>
          <w:lang w:eastAsia="es-GT"/>
        </w:rPr>
      </w:pPr>
      <w:r w:rsidRPr="007223FB">
        <w:rPr>
          <w:lang w:val="es-ES" w:eastAsia="es-GT"/>
        </w:rPr>
        <w:t>Secretaria Ejecutiva de la Comisión contra las Adicciones y el Tráfico Ilícito de Drogas</w:t>
      </w:r>
      <w:r w:rsidR="00821AF9" w:rsidRPr="007223FB">
        <w:rPr>
          <w:lang w:eastAsia="es-GT"/>
        </w:rPr>
        <w:t xml:space="preserve"> es la institución responsable de prevenir y contrarrestar el consumo y tráfico ilícito de drogas a nivel nacional, así como de impulsar las Políticas de prevención y atención al fenómeno y problemática de las drogas. Para el cumplimiento de su mandato, la Secretaría cuenta con un presupuesto vigente de Q 8.50 millones de los cuales ejecutó en este cuatrimestre Q </w:t>
      </w:r>
      <w:r w:rsidR="0078706E" w:rsidRPr="007223FB">
        <w:rPr>
          <w:lang w:eastAsia="es-GT"/>
        </w:rPr>
        <w:t>2.37 millones</w:t>
      </w:r>
      <w:r w:rsidR="00821AF9" w:rsidRPr="007223FB">
        <w:rPr>
          <w:lang w:eastAsia="es-GT"/>
        </w:rPr>
        <w:t xml:space="preserve"> que equivalen a 27.97%.  El vigente tuvo un aumento de Q 500 mil para este periodo. El monto por ejecutar es de Q 4.3 millones.</w:t>
      </w:r>
      <w:r w:rsidR="00F555A5" w:rsidRPr="007223FB">
        <w:rPr>
          <w:lang w:eastAsia="es-GT"/>
        </w:rPr>
        <w:t xml:space="preserve"> </w:t>
      </w:r>
    </w:p>
    <w:p w:rsidR="00F555A5" w:rsidRPr="007223FB" w:rsidRDefault="00F555A5" w:rsidP="003303E4">
      <w:pPr>
        <w:spacing w:before="120" w:after="120" w:line="240" w:lineRule="auto"/>
        <w:rPr>
          <w:lang w:eastAsia="es-GT"/>
        </w:rPr>
      </w:pPr>
      <w:r w:rsidRPr="007223FB">
        <w:rPr>
          <w:lang w:eastAsia="es-GT"/>
        </w:rPr>
        <w:t xml:space="preserve">La SECCATID no formula Resultados Institucionales, por lo que se alerta sobre la producción que ejecuta metas físicas y financieras que no se vinculan a la consecución de resultados medibles. De los productos ejecutados debe atenderse de manera prioritaria, bajo criterios de calidad del gasto lo siguiente: </w:t>
      </w:r>
      <w:r w:rsidR="0078706E" w:rsidRPr="007223FB">
        <w:rPr>
          <w:lang w:eastAsia="es-GT"/>
        </w:rPr>
        <w:t>“</w:t>
      </w:r>
      <w:r w:rsidRPr="007223FB">
        <w:rPr>
          <w:lang w:eastAsia="es-GT"/>
        </w:rPr>
        <w:t>D</w:t>
      </w:r>
      <w:r w:rsidR="00582D3F" w:rsidRPr="007223FB">
        <w:rPr>
          <w:lang w:eastAsia="es-GT"/>
        </w:rPr>
        <w:t>rogodependientes</w:t>
      </w:r>
      <w:r w:rsidRPr="007223FB">
        <w:rPr>
          <w:lang w:eastAsia="es-GT"/>
        </w:rPr>
        <w:t xml:space="preserve"> </w:t>
      </w:r>
      <w:r w:rsidR="00582D3F" w:rsidRPr="007223FB">
        <w:rPr>
          <w:lang w:eastAsia="es-GT"/>
        </w:rPr>
        <w:t>atendidos con tratamiento individual para la disminución del consumo de droga y personas sensibilizadas en la prevención al consumo de drogas</w:t>
      </w:r>
      <w:r w:rsidR="0078706E" w:rsidRPr="007223FB">
        <w:rPr>
          <w:lang w:eastAsia="es-GT"/>
        </w:rPr>
        <w:t>”</w:t>
      </w:r>
      <w:r w:rsidRPr="007223FB">
        <w:rPr>
          <w:lang w:eastAsia="es-GT"/>
        </w:rPr>
        <w:t>.</w:t>
      </w:r>
    </w:p>
    <w:p w:rsidR="00F555A5" w:rsidRPr="007223FB" w:rsidRDefault="0078706E" w:rsidP="003303E4">
      <w:pPr>
        <w:spacing w:before="120" w:after="120" w:line="240" w:lineRule="auto"/>
        <w:rPr>
          <w:lang w:eastAsia="es-GT"/>
        </w:rPr>
      </w:pPr>
      <w:r w:rsidRPr="007223FB">
        <w:rPr>
          <w:lang w:eastAsia="es-GT"/>
        </w:rPr>
        <w:t>Desafíos</w:t>
      </w:r>
    </w:p>
    <w:p w:rsidR="00F555A5" w:rsidRPr="007223FB" w:rsidRDefault="00F555A5" w:rsidP="003303E4">
      <w:pPr>
        <w:spacing w:before="120" w:after="120" w:line="240" w:lineRule="auto"/>
        <w:rPr>
          <w:lang w:eastAsia="es-GT"/>
        </w:rPr>
      </w:pPr>
      <w:r w:rsidRPr="007223FB">
        <w:rPr>
          <w:lang w:eastAsia="es-GT"/>
        </w:rPr>
        <w:t>Deben atenderse los criterios de calidad del gasto expuestos en el artículo 1 de la Ley Orgánica del Presupuesto.</w:t>
      </w:r>
    </w:p>
    <w:p w:rsidR="0078706E" w:rsidRPr="007223FB" w:rsidRDefault="0078706E"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Ejecutiva del Consejo de Atención al Migrante -</w:t>
      </w:r>
      <w:r w:rsidR="00D4662E" w:rsidRPr="007223FB">
        <w:rPr>
          <w:b/>
          <w:lang w:val="es-ES" w:eastAsia="es-GT"/>
        </w:rPr>
        <w:t>SE</w:t>
      </w:r>
      <w:r w:rsidRPr="007223FB">
        <w:rPr>
          <w:b/>
          <w:lang w:val="es-ES" w:eastAsia="es-GT"/>
        </w:rPr>
        <w:t>CONAMIGUA</w:t>
      </w:r>
    </w:p>
    <w:p w:rsidR="00A12964" w:rsidRPr="007223FB" w:rsidRDefault="002A7644" w:rsidP="003303E4">
      <w:pPr>
        <w:spacing w:before="120" w:after="120" w:line="240" w:lineRule="auto"/>
        <w:rPr>
          <w:lang w:eastAsia="es-GT"/>
        </w:rPr>
      </w:pPr>
      <w:r w:rsidRPr="007223FB">
        <w:rPr>
          <w:lang w:val="es-ES" w:eastAsia="es-GT"/>
        </w:rPr>
        <w:t>Secretaría Ejecutiva del Consejo de Atención al Migrante</w:t>
      </w:r>
      <w:r w:rsidR="00A12964" w:rsidRPr="007223FB">
        <w:t xml:space="preserve"> </w:t>
      </w:r>
      <w:r w:rsidR="00A12964" w:rsidRPr="007223FB">
        <w:rPr>
          <w:lang w:eastAsia="es-GT"/>
        </w:rPr>
        <w:t>no presento información de avance al segundo cuatrimestral.</w:t>
      </w:r>
    </w:p>
    <w:p w:rsidR="0078706E" w:rsidRPr="007223FB" w:rsidRDefault="0078706E" w:rsidP="000B07D9">
      <w:pPr>
        <w:pStyle w:val="Prrafodelista"/>
        <w:numPr>
          <w:ilvl w:val="0"/>
          <w:numId w:val="5"/>
        </w:numPr>
        <w:spacing w:before="120" w:after="120" w:line="240" w:lineRule="auto"/>
        <w:contextualSpacing w:val="0"/>
        <w:rPr>
          <w:lang w:val="es-ES" w:eastAsia="es-GT"/>
        </w:rPr>
      </w:pPr>
      <w:r w:rsidRPr="007223FB">
        <w:rPr>
          <w:b/>
          <w:lang w:val="es-ES" w:eastAsia="es-GT"/>
        </w:rPr>
        <w:t>Secretaria del Consejo Nacional de Áreas Protegidas –SECONAP</w:t>
      </w:r>
      <w:r w:rsidRPr="007223FB">
        <w:rPr>
          <w:lang w:val="es-ES" w:eastAsia="es-GT"/>
        </w:rPr>
        <w:t>-</w:t>
      </w:r>
    </w:p>
    <w:p w:rsidR="00626643" w:rsidRPr="007223FB" w:rsidRDefault="00626643" w:rsidP="003303E4">
      <w:pPr>
        <w:spacing w:before="120" w:after="120" w:line="240" w:lineRule="auto"/>
        <w:rPr>
          <w:lang w:val="es-ES" w:eastAsia="es-GT"/>
        </w:rPr>
      </w:pPr>
      <w:r w:rsidRPr="007223FB">
        <w:rPr>
          <w:lang w:val="es-ES" w:eastAsia="es-GT"/>
        </w:rPr>
        <w:t xml:space="preserve">La Secretaria del Consejo Nacional de Áreas Protegidas –SECONAP- tiene por mandato la conservación de áreas protegidas y es corresponsable del Resultado Estratégico de País –REP- de “Mantener la cobertura forestal a nivel nacional”, vinculando toda su producción al logro de este resultado estratégico, de esa cuenta el análisis de su producción, ya fue elaborado en el apartado correspondiente del REP 13 del presente informe. </w:t>
      </w:r>
    </w:p>
    <w:p w:rsidR="00985E6E" w:rsidRDefault="00626643" w:rsidP="00985E6E">
      <w:pPr>
        <w:spacing w:before="120" w:after="120" w:line="240" w:lineRule="auto"/>
        <w:rPr>
          <w:b/>
          <w:lang w:val="es-ES" w:eastAsia="es-GT"/>
        </w:rPr>
      </w:pPr>
      <w:r w:rsidRPr="007223FB">
        <w:rPr>
          <w:lang w:val="es-ES" w:eastAsia="es-GT"/>
        </w:rPr>
        <w:t>En cuanto a la ejecución presupuestaria, al segundo cuatrimestre el CONAP presenta una ejecución de 49.70% (Q. 62.48 millones) en donde se tiene una brecha de ejecución para el tercer cuatrimestre de Q.63.22 millones, por lo cual es importante mejorar la eficiencia de la entrega de los productos del CONAP para cumplir con la calidad en la ejecución del gasto y la programación realizada.</w:t>
      </w:r>
      <w:r w:rsidR="00985E6E">
        <w:rPr>
          <w:lang w:val="es-ES" w:eastAsia="es-GT"/>
        </w:rPr>
        <w:t xml:space="preserve"> </w:t>
      </w:r>
      <w:r w:rsidR="00985E6E">
        <w:rPr>
          <w:b/>
          <w:lang w:val="es-ES" w:eastAsia="es-GT"/>
        </w:rPr>
        <w:br w:type="page"/>
      </w:r>
    </w:p>
    <w:p w:rsidR="0078706E" w:rsidRPr="007223FB" w:rsidRDefault="0078706E"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Secretaría Ejecutiva de la Coordinadora Nacional para la Reducción de Desastres –SECONRED-</w:t>
      </w:r>
    </w:p>
    <w:p w:rsidR="00D0363D" w:rsidRPr="007223FB" w:rsidRDefault="002A7644" w:rsidP="003303E4">
      <w:pPr>
        <w:spacing w:before="120" w:after="120" w:line="240" w:lineRule="auto"/>
        <w:rPr>
          <w:lang w:eastAsia="es-GT"/>
        </w:rPr>
      </w:pPr>
      <w:r w:rsidRPr="007223FB">
        <w:rPr>
          <w:lang w:val="es-ES" w:eastAsia="es-GT"/>
        </w:rPr>
        <w:t>Secretaría Ejecutiva de la Coordinadora Nacional para la Reducción de Desastres</w:t>
      </w:r>
      <w:r w:rsidR="00C50F17" w:rsidRPr="007223FB">
        <w:rPr>
          <w:lang w:val="es-ES" w:eastAsia="es-GT"/>
        </w:rPr>
        <w:t xml:space="preserve"> </w:t>
      </w:r>
      <w:r w:rsidR="00C50F17" w:rsidRPr="007223FB">
        <w:rPr>
          <w:lang w:eastAsia="es-GT"/>
        </w:rPr>
        <w:t xml:space="preserve">es el órgano responsable de prevenir, mitigar, atender y participar en la rehabilitación y reconstrucción por los daños derivados de los efectos de los desastres; Para el cumplimiento de su mandato cuenta con un presupuesto vigente de Q 127.96 millones de los cuales evidencia una ejecución financiera cuatrimestral de Q 31.69 millones que equivalen </w:t>
      </w:r>
      <w:r w:rsidR="0078706E" w:rsidRPr="007223FB">
        <w:rPr>
          <w:lang w:eastAsia="es-GT"/>
        </w:rPr>
        <w:t>a 28.05</w:t>
      </w:r>
      <w:r w:rsidR="00C50F17" w:rsidRPr="007223FB">
        <w:rPr>
          <w:lang w:eastAsia="es-GT"/>
        </w:rPr>
        <w:t xml:space="preserve">%.  Cabe resaltar que para este periodo el vigente </w:t>
      </w:r>
      <w:r w:rsidR="00800002" w:rsidRPr="007223FB">
        <w:rPr>
          <w:lang w:eastAsia="es-GT"/>
        </w:rPr>
        <w:t>aumento</w:t>
      </w:r>
      <w:r w:rsidR="00C50F17" w:rsidRPr="007223FB">
        <w:rPr>
          <w:lang w:eastAsia="es-GT"/>
        </w:rPr>
        <w:t xml:space="preserve"> Q 22.96 millones y el monto pendiente a ejecutar es de Q </w:t>
      </w:r>
      <w:r w:rsidR="00D0363D" w:rsidRPr="007223FB">
        <w:rPr>
          <w:lang w:eastAsia="es-GT"/>
        </w:rPr>
        <w:t xml:space="preserve">75.75 millones.  </w:t>
      </w:r>
    </w:p>
    <w:p w:rsidR="00D0363D" w:rsidRPr="007223FB" w:rsidRDefault="00D0363D" w:rsidP="003303E4">
      <w:pPr>
        <w:spacing w:before="120" w:after="120" w:line="240" w:lineRule="auto"/>
        <w:rPr>
          <w:lang w:eastAsia="es-GT"/>
        </w:rPr>
      </w:pPr>
      <w:r w:rsidRPr="007223FB">
        <w:rPr>
          <w:lang w:eastAsia="es-GT"/>
        </w:rPr>
        <w:t xml:space="preserve">El resultado Institucional “Aumentar en 3 por ciento las acciones de Gestión de Reducción de Riesgo a desastres para casos de desastres en los distintos niveles </w:t>
      </w:r>
      <w:r w:rsidR="00C147A0" w:rsidRPr="007223FB">
        <w:rPr>
          <w:lang w:eastAsia="es-GT"/>
        </w:rPr>
        <w:t>sectorial muestra</w:t>
      </w:r>
      <w:r w:rsidRPr="007223FB">
        <w:rPr>
          <w:lang w:eastAsia="es-GT"/>
        </w:rPr>
        <w:t xml:space="preserve"> es y territoriales del país a fin de asegurar una respuesta oportuna y eficaz durante el 2019” del cual no presenta información sobre su avance. Los productos comprometidos con el Resultado Institucional que ameritan </w:t>
      </w:r>
      <w:r w:rsidR="0078706E" w:rsidRPr="007223FB">
        <w:rPr>
          <w:lang w:eastAsia="es-GT"/>
        </w:rPr>
        <w:t>alertivo</w:t>
      </w:r>
      <w:r w:rsidRPr="007223FB">
        <w:rPr>
          <w:lang w:eastAsia="es-GT"/>
        </w:rPr>
        <w:t xml:space="preserve"> son los siguientes: Población guatemalteca beneficiada con ayuda humanitaria en el momento de un desastre o por medio de actividades iniciativas proyectos obras e investigaciones en todas las áreas de reducción de desastres y Coordinar capacitar y actualizar a personas responsables de primera respuesta equipos técnicos y personas expuestas a amenazas en lo concerniente a la prevención atención a desastres y manejo de protocolos durante la ocurrencia de un evento.</w:t>
      </w:r>
    </w:p>
    <w:p w:rsidR="00D0363D" w:rsidRPr="007223FB" w:rsidRDefault="00D0363D" w:rsidP="003303E4">
      <w:pPr>
        <w:spacing w:before="120" w:after="120" w:line="240" w:lineRule="auto"/>
        <w:rPr>
          <w:lang w:eastAsia="es-GT"/>
        </w:rPr>
      </w:pPr>
      <w:r w:rsidRPr="007223FB">
        <w:rPr>
          <w:lang w:eastAsia="es-GT"/>
        </w:rPr>
        <w:t>Desafíos</w:t>
      </w:r>
    </w:p>
    <w:p w:rsidR="00D0363D" w:rsidRPr="007223FB" w:rsidRDefault="00D0363D" w:rsidP="003303E4">
      <w:pPr>
        <w:spacing w:before="120" w:after="120" w:line="240" w:lineRule="auto"/>
        <w:rPr>
          <w:lang w:eastAsia="es-GT"/>
        </w:rPr>
      </w:pPr>
      <w:r w:rsidRPr="007223FB">
        <w:rPr>
          <w:lang w:eastAsia="es-GT"/>
        </w:rPr>
        <w:t>Es necesario que se preste atención a la ejecución de la producción en alerta, de lo contrario la consecución del Resultado Institucional puede verse comprometido.</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de Planificación y Programación de la Presidencia</w:t>
      </w:r>
      <w:r w:rsidR="0078706E" w:rsidRPr="007223FB">
        <w:rPr>
          <w:b/>
          <w:lang w:val="es-ES" w:eastAsia="es-GT"/>
        </w:rPr>
        <w:t xml:space="preserve"> –SEGEPLAN-</w:t>
      </w:r>
    </w:p>
    <w:p w:rsidR="0078706E" w:rsidRPr="007223FB" w:rsidRDefault="0078706E" w:rsidP="003303E4">
      <w:pPr>
        <w:autoSpaceDE w:val="0"/>
        <w:autoSpaceDN w:val="0"/>
        <w:adjustRightInd w:val="0"/>
        <w:spacing w:before="120" w:after="120" w:line="240" w:lineRule="auto"/>
        <w:rPr>
          <w:rFonts w:cs="Candara"/>
        </w:rPr>
      </w:pPr>
      <w:r w:rsidRPr="007223FB">
        <w:rPr>
          <w:rFonts w:cs="Candara"/>
        </w:rPr>
        <w:t>La Secretaría de Planificación y Programación de la Presidencia (SEGEPLAN) a quien según la Ley del Organismo Ejecutivo (Decreto 114-97), es el órgano de planificación del Estado, responsable de apoyar en la formulación, gestión, monitoreo y evaluación de la política general de desarrollo del país.</w:t>
      </w:r>
    </w:p>
    <w:p w:rsidR="0078706E" w:rsidRPr="007223FB" w:rsidRDefault="0078706E" w:rsidP="003303E4">
      <w:pPr>
        <w:autoSpaceDE w:val="0"/>
        <w:autoSpaceDN w:val="0"/>
        <w:adjustRightInd w:val="0"/>
        <w:spacing w:before="120" w:after="120" w:line="240" w:lineRule="auto"/>
        <w:rPr>
          <w:rFonts w:cs="Candara"/>
        </w:rPr>
      </w:pPr>
      <w:r w:rsidRPr="007223FB">
        <w:rPr>
          <w:rFonts w:cs="Candara"/>
        </w:rPr>
        <w:t>SEGEPLAN, en cumplimiento a su mandato, define un Resultado Institucional “Al 2020 la consolidación del Sistema Nacional de Planificación se habrá incrementado en 45 puntos porcentuales con respecto al 2016 para orientar la articulación de las políticas, la planificación y la programación de las entidades del sector público en el marco del Plan Nacional de Desarrollo, Política Nacional de Desarrollo y la Política General de Gobierno”,  la institución no reportó avance obtenido en el resultado a agosto 2019.</w:t>
      </w:r>
    </w:p>
    <w:p w:rsidR="0078706E" w:rsidRPr="007223FB" w:rsidRDefault="0078706E" w:rsidP="003303E4">
      <w:pPr>
        <w:autoSpaceDE w:val="0"/>
        <w:autoSpaceDN w:val="0"/>
        <w:adjustRightInd w:val="0"/>
        <w:spacing w:before="120" w:after="120" w:line="240" w:lineRule="auto"/>
        <w:rPr>
          <w:rFonts w:cs="Candara"/>
        </w:rPr>
      </w:pPr>
      <w:r w:rsidRPr="007223FB">
        <w:rPr>
          <w:rFonts w:cs="Candara"/>
        </w:rPr>
        <w:t>Para el segundo cuatrimestre y el acumulado a agosto del 2019, la SEGEPLAN registra una ejecución de metas físicas y financieras para sus productos de acuerdo a lo programado en el POA 2019</w:t>
      </w:r>
    </w:p>
    <w:p w:rsidR="0078706E" w:rsidRPr="007223FB" w:rsidRDefault="0078706E" w:rsidP="003303E4">
      <w:pPr>
        <w:autoSpaceDE w:val="0"/>
        <w:autoSpaceDN w:val="0"/>
        <w:adjustRightInd w:val="0"/>
        <w:spacing w:before="120" w:after="120" w:line="240" w:lineRule="auto"/>
        <w:rPr>
          <w:rFonts w:cs="Candara"/>
        </w:rPr>
      </w:pPr>
      <w:r w:rsidRPr="007223FB">
        <w:rPr>
          <w:rFonts w:cs="Candara"/>
        </w:rPr>
        <w:t>Para el ejercicio fiscal 2019, a la Segeplán le fue asignado Q102.89 millones el cual permanece vigente. La ejecución de mayo a agosto fue de Q29.15 millones equivalente al 28.34% de avance y la ejecución acumulada de enero a agosto fue de Q50.70 millones equivalente al 49.28%., por lo que tiene pendiente de ejecutar un 50.72%</w:t>
      </w:r>
    </w:p>
    <w:p w:rsidR="0078706E" w:rsidRPr="007223FB" w:rsidRDefault="0078706E" w:rsidP="003303E4">
      <w:pPr>
        <w:spacing w:before="120" w:after="120" w:line="240" w:lineRule="auto"/>
        <w:rPr>
          <w:rFonts w:cs="Candara"/>
        </w:rPr>
      </w:pPr>
      <w:r w:rsidRPr="007223FB">
        <w:rPr>
          <w:rFonts w:cs="Candara"/>
        </w:rPr>
        <w:t>El reto más importante para la SEGEPLAN para el tercer cuatrimestre del 2019, es poder medir el avance alcanzado del Resultado Institucional planteado.</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Ejecutiva Instancia Coordinadora de la Modernización del Sector Justicia</w:t>
      </w:r>
      <w:r w:rsidR="0078706E" w:rsidRPr="007223FB">
        <w:rPr>
          <w:b/>
          <w:lang w:val="es-ES" w:eastAsia="es-GT"/>
        </w:rPr>
        <w:t xml:space="preserve"> –SEICMSJ-</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 xml:space="preserve">La Secretaría Ejecutiva de la Instancia Coordinadora de la Modernización del Sector Justicia (SEICMSJ) fue creada en 1,998 mediante un convenio interinstitucional, firmado por la Instancia Coordinadora de la Modernización del Sector Justicia y según el decreto 89-98 del Congreso de la </w:t>
      </w:r>
      <w:r w:rsidRPr="007223FB">
        <w:rPr>
          <w:rFonts w:cs="Candara"/>
        </w:rPr>
        <w:lastRenderedPageBreak/>
        <w:t xml:space="preserve">República de Guatemala, se le reconoce personalidad jurídica. La Secretaría Ejecutiva es un órgano ejecutor, cuya función principal es poner en práctica las decisiones tomadas por la Instancia Coordinadora de la Modernización del Sector Justicia, así como proporcionarle asesoría, apoyo operativo, consultivo y administrativo. Tiene las facultades para materializar los programas o proyectos que se le asignen, además de propiciar la coordinación y evaluación general de las acciones realizadas en forma conjunta a nivel intersectorial. </w:t>
      </w:r>
    </w:p>
    <w:p w:rsidR="004B49C5" w:rsidRPr="007223FB" w:rsidRDefault="004B49C5" w:rsidP="003303E4">
      <w:pPr>
        <w:spacing w:before="120" w:after="120" w:line="240" w:lineRule="auto"/>
        <w:rPr>
          <w:bCs/>
        </w:rPr>
      </w:pPr>
      <w:r w:rsidRPr="007223FB">
        <w:t xml:space="preserve">Resultado Estratégico de </w:t>
      </w:r>
      <w:r w:rsidRPr="007223FB">
        <w:rPr>
          <w:rFonts w:cs="Candara"/>
        </w:rPr>
        <w:t>la Secretaría Ejecutiva de la Instancia Coordinadora de la Modernización del Sector Justicia (SEICMSJ):</w:t>
      </w:r>
      <w:r w:rsidRPr="007223FB">
        <w:rPr>
          <w:b/>
        </w:rPr>
        <w:t xml:space="preserve"> </w:t>
      </w:r>
      <w:r w:rsidRPr="007223FB">
        <w:rPr>
          <w:bCs/>
        </w:rPr>
        <w:t>Reducir el índice de percepción de la corrupción, llevando a Guatemala desde el puesto 32 en el 2014 hasta situarla en el puesto 50 en 2019. Se cuenta con el producto: Asistencias técnicas y profesionales.</w:t>
      </w:r>
    </w:p>
    <w:p w:rsidR="00CC5ABB" w:rsidRPr="007223FB" w:rsidRDefault="00CC5ABB" w:rsidP="003303E4">
      <w:pPr>
        <w:spacing w:before="120" w:after="120" w:line="240" w:lineRule="auto"/>
        <w:rPr>
          <w:bCs/>
        </w:rPr>
      </w:pPr>
      <w:r w:rsidRPr="007223FB">
        <w:t>La institución cuenta con un presupuesto vigente de Q 20</w:t>
      </w:r>
      <w:r w:rsidR="00D41517" w:rsidRPr="007223FB">
        <w:t>.</w:t>
      </w:r>
      <w:r w:rsidRPr="007223FB">
        <w:t>55 millones. En lo que respecta a la ejecución cuatrimestral mayo- agosto, se tiene un avance financiero de Q 5</w:t>
      </w:r>
      <w:r w:rsidR="00D41517" w:rsidRPr="007223FB">
        <w:t>.</w:t>
      </w:r>
      <w:r w:rsidRPr="007223FB">
        <w:t>78</w:t>
      </w:r>
      <w:r w:rsidRPr="007223FB">
        <w:rPr>
          <w:bCs/>
        </w:rPr>
        <w:t xml:space="preserve"> millones equivalente a un 28.13%</w:t>
      </w:r>
      <w:r w:rsidR="00D41517" w:rsidRPr="007223FB">
        <w:rPr>
          <w:bCs/>
        </w:rPr>
        <w:t>, acumulado de 50.33%.</w:t>
      </w:r>
      <w:r w:rsidRPr="007223FB">
        <w:rPr>
          <w:bCs/>
        </w:rPr>
        <w:t xml:space="preserve"> Con respecto a los resultados institucionales, se tienen:</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-El sistema penitenciario y el sistema de ejecución de las medidas impuestas a los adolescentes en conflicto con la Ley Penal implementando o mejoran los programas de tratamiento individualizado siguiendo el sistema progresivo establecido.</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-Fortalecidas las capacidades institucionales y los mecanismos de coordinación para el Sector Justicia a través de la ICMSJ.</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-Fortalecidos los sistemas y estrategias de prevención de la violencia contra las mujeres niñas niños y adolescentes en el área de intervención del programa.</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-Fortalecimiento de espacios de coordinación interinstitucional Fase 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-Fortalecimiento de espacios de coordinación intersectorial Fase III.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-Gestión y coordinación.</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-Incrementada la eficacia del sistema de justicia a los delitos cometidos contra mujeres niñas niños y adolescentes en el área de intervención del programa.</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-Incrementada la eficiencia de la asistencia a mujeres niñas niños y adolescentes víctimas de violencia en el área de intervención del programa.</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-Incrementar el número de denuncias en casos de violencia contra la mujer Fase III.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-Incrementar el número de denuncias en casos de violencia de género de Sololá Fase 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-La administración de justicia llega a todos los sectores de la población y más áreas geográficas mejorando la percepción de los ciudadanos que muestran una mayor confianza en el sistema y acuden a él para la resolución de conflictos.</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-Mejora de la atención a mujeres víctimas de violencia Fase 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-Mejora de la persecución penal de los delitos de femicidio y otras formas de violencia contra la mujer y delitos sexuales Fase III.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-Mejorar la atención a mujeres víctimas de violencia Fase III.</w:t>
      </w:r>
    </w:p>
    <w:p w:rsidR="00CC5ABB" w:rsidRPr="007223FB" w:rsidRDefault="00CC5ABB" w:rsidP="003303E4">
      <w:pPr>
        <w:autoSpaceDE w:val="0"/>
        <w:autoSpaceDN w:val="0"/>
        <w:adjustRightInd w:val="0"/>
        <w:spacing w:before="120" w:after="120" w:line="240" w:lineRule="auto"/>
        <w:rPr>
          <w:rFonts w:cs="Candara"/>
        </w:rPr>
      </w:pPr>
      <w:r w:rsidRPr="007223FB">
        <w:rPr>
          <w:rFonts w:cs="Candara"/>
        </w:rPr>
        <w:t>-Mejorar la calidad de investigación en casos de violencia de género en Sololá Fase II.</w:t>
      </w:r>
    </w:p>
    <w:p w:rsidR="00CC5ABB" w:rsidRPr="007223FB" w:rsidRDefault="00CC5ABB" w:rsidP="003303E4">
      <w:pPr>
        <w:spacing w:before="120" w:after="120" w:line="240" w:lineRule="auto"/>
        <w:rPr>
          <w:bCs/>
        </w:rPr>
      </w:pPr>
      <w:r w:rsidRPr="007223FB">
        <w:rPr>
          <w:bCs/>
        </w:rPr>
        <w:t xml:space="preserve">De acuerdo con la información analizada, la institución está realizando esfuerzos para alcanzar los resultados institucionales propuestos, sin embargo aún es necesario fortalecer lo concerniente al </w:t>
      </w:r>
      <w:r w:rsidRPr="007223FB">
        <w:rPr>
          <w:bCs/>
        </w:rPr>
        <w:lastRenderedPageBreak/>
        <w:t>resultado institucional relacionado al Sistema Penitenciario y el sistema de ejecución de las medidas impuestas a los adolescentes en conflicto con la Ley Penal.</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Nacional de Administración de Bienes en Extinción de Dominio</w:t>
      </w:r>
      <w:r w:rsidR="001F1C7B" w:rsidRPr="007223FB">
        <w:rPr>
          <w:b/>
          <w:lang w:val="es-ES" w:eastAsia="es-GT"/>
        </w:rPr>
        <w:t xml:space="preserve"> –SENABED- </w:t>
      </w:r>
    </w:p>
    <w:p w:rsidR="00BB47C3" w:rsidRPr="007223FB" w:rsidRDefault="00BB47C3" w:rsidP="003303E4">
      <w:pPr>
        <w:tabs>
          <w:tab w:val="left" w:pos="2610"/>
        </w:tabs>
        <w:spacing w:before="120" w:after="120" w:line="240" w:lineRule="auto"/>
      </w:pPr>
      <w:r w:rsidRPr="007223FB">
        <w:t>Con base al artículo 38 del Decreto No. 55-2010 Ley de Extinción de Dominio, y artículo 3 del Acuerdo Gubernativo No.514-2011, se crea el Consejo Nacional de Administración de Bienes en Extinción de Dominio, como órgano adscrito a la Vicepresidencia de la República, con personería jurídica propia para la realización de su actividad contractual y la administración de sus recursos y patrimonio. Al Consejo Nacional de Administración de Bienes en Extinción de Dominio, estará subordinada la Secretaría Nacional de Bienes en Extinción de Dominio –SENABED-, la cual será el órgano ejecutivo encargado de cumplir las decisiones del CONABED.</w:t>
      </w:r>
    </w:p>
    <w:p w:rsidR="00BB47C3" w:rsidRPr="007223FB" w:rsidRDefault="00BB47C3" w:rsidP="003303E4">
      <w:pPr>
        <w:spacing w:before="120" w:after="120" w:line="240" w:lineRule="auto"/>
        <w:rPr>
          <w:bCs/>
        </w:rPr>
      </w:pPr>
      <w:r w:rsidRPr="007223FB">
        <w:t>La institución cuenta con un presupuesto vigente de Q 28.34 millones. En lo que respecta a la ejecución cuatrimestral mayo- agosto, se tiene un avance financiero de Q 11.3</w:t>
      </w:r>
      <w:r w:rsidRPr="007223FB">
        <w:rPr>
          <w:bCs/>
        </w:rPr>
        <w:t xml:space="preserve"> millones equivalente a un 39.78%</w:t>
      </w:r>
      <w:r w:rsidR="005A5236" w:rsidRPr="007223FB">
        <w:rPr>
          <w:bCs/>
        </w:rPr>
        <w:t>, acumulado de 69.68%.</w:t>
      </w:r>
      <w:r w:rsidRPr="007223FB">
        <w:rPr>
          <w:bCs/>
        </w:rPr>
        <w:t xml:space="preserve"> Con respecto a los resultados institucionales, se tiene:</w:t>
      </w:r>
    </w:p>
    <w:p w:rsidR="00BB47C3" w:rsidRPr="007223FB" w:rsidRDefault="00BB47C3" w:rsidP="003303E4">
      <w:pPr>
        <w:tabs>
          <w:tab w:val="left" w:pos="2610"/>
        </w:tabs>
        <w:spacing w:before="120" w:after="120" w:line="240" w:lineRule="auto"/>
      </w:pPr>
      <w:r w:rsidRPr="007223FB">
        <w:t>-Mantener para el 2022 la productividad en un 3% de los bienes administrados.</w:t>
      </w:r>
    </w:p>
    <w:p w:rsidR="00BB47C3" w:rsidRPr="007223FB" w:rsidRDefault="00BB47C3" w:rsidP="003303E4">
      <w:pPr>
        <w:tabs>
          <w:tab w:val="left" w:pos="2610"/>
        </w:tabs>
        <w:spacing w:before="120" w:after="120" w:line="240" w:lineRule="auto"/>
      </w:pPr>
      <w:r w:rsidRPr="007223FB">
        <w:t>Cabe resaltar que la ejecución de la institución depende de variables externas que están fuera de su control, por lo tanto la eficiencia debe ser evaluada a la luz de estos factores que intervienen en la ejecución de los recursos y el cumplimiento de metas.</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de Ciencia y Tecnología</w:t>
      </w:r>
      <w:r w:rsidR="001F1C7B" w:rsidRPr="007223FB">
        <w:rPr>
          <w:b/>
          <w:lang w:val="es-ES" w:eastAsia="es-GT"/>
        </w:rPr>
        <w:t xml:space="preserve"> -Senacyt</w:t>
      </w:r>
    </w:p>
    <w:p w:rsidR="003A18DA" w:rsidRPr="007223FB" w:rsidRDefault="003A18DA" w:rsidP="003303E4">
      <w:pPr>
        <w:autoSpaceDE w:val="0"/>
        <w:autoSpaceDN w:val="0"/>
        <w:adjustRightInd w:val="0"/>
        <w:spacing w:before="120" w:after="120" w:line="240" w:lineRule="auto"/>
        <w:rPr>
          <w:rFonts w:cs="Candara"/>
        </w:rPr>
      </w:pPr>
      <w:r w:rsidRPr="007223FB">
        <w:rPr>
          <w:rFonts w:cs="Candara"/>
        </w:rPr>
        <w:t xml:space="preserve">La Secretaría Nacional de Ciencia y Tecnología (Senacyt) como ente de apoyo al Consejo Nacional de Ciencia y Tecnología (Concyt) presenta su resultado institucional “Para el 2023 se ha incrementado en un 8% la cantidad de personas con financiamiento por medio de la promoción del desarrollo científico y tecnológico y de innovación de 146 en 2019 a 158 en 2023”, del cual el producto sustantivo es “Personas beneficiadas técnica y financieramente en ciencia tecnológica e innovación”, sobre una meta de 146 personas, ha registrado 9.59% de avance. El presupuesto vigente para la Senacyt es Q34.80 millones, mismo que se mantiene así durante el segundo cuatrimestre. Registra una ejecución de Q9.89 millones lo que equivale a 28.43% de mayo a agosto, y un acumulado de Q17.96 millones equivalentes a 51.61% en lo que va del año. </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de la Paz</w:t>
      </w:r>
      <w:r w:rsidR="001F1C7B" w:rsidRPr="007223FB">
        <w:rPr>
          <w:b/>
          <w:lang w:val="es-ES" w:eastAsia="es-GT"/>
        </w:rPr>
        <w:t xml:space="preserve"> –Sepaz-</w:t>
      </w:r>
    </w:p>
    <w:p w:rsidR="001861CA" w:rsidRPr="007223FB" w:rsidRDefault="001861CA" w:rsidP="003303E4">
      <w:pPr>
        <w:autoSpaceDE w:val="0"/>
        <w:autoSpaceDN w:val="0"/>
        <w:adjustRightInd w:val="0"/>
        <w:spacing w:before="120" w:after="120" w:line="240" w:lineRule="auto"/>
        <w:rPr>
          <w:rFonts w:cs="Candara"/>
        </w:rPr>
      </w:pPr>
      <w:r w:rsidRPr="007223FB">
        <w:rPr>
          <w:rFonts w:cs="Candara"/>
        </w:rPr>
        <w:t>Como parte del seguimiento al cumplimiento de los Acuerdos de Paz, en la Construcción de la Cultura de Paz y Reconciliación Nacional, la Secretaría de la Paz (Sepaz) trabaja conjuntamente con el Consejo Nacional para el Cumplimiento de los Acuerdos de Paz, el Foro Nacional de la Mujer y el Programa Nacional de Resarcimiento los cuales se conciben como una entidad de apoyo, asesoría y coordinación del cumplimiento de los compromisos gubernamentales originados en los Acuerdos de Paz. Dichos acuerdos, constituyen la base legal que le da sustento y obligatoriedad en la administración y aplicación de los propósitos, finalidades, objetivos, funciones y autoridad que le es conferida a esta secretaría y a cada una de las Direcciones y Unidades que la conforman.</w:t>
      </w:r>
    </w:p>
    <w:p w:rsidR="001861CA" w:rsidRPr="007223FB" w:rsidRDefault="001861CA" w:rsidP="003303E4">
      <w:pPr>
        <w:spacing w:before="120" w:after="120" w:line="240" w:lineRule="auto"/>
        <w:rPr>
          <w:bCs/>
        </w:rPr>
      </w:pPr>
      <w:r w:rsidRPr="007223FB">
        <w:t>La institución cuenta con un presupuesto vigente de Q 28</w:t>
      </w:r>
      <w:r w:rsidR="00970565" w:rsidRPr="007223FB">
        <w:t>.</w:t>
      </w:r>
      <w:r w:rsidRPr="007223FB">
        <w:t>89 millones. En lo que respecta a la ejecución cuatrimestral mayo- agosto, se tiene un avance financiero de Q 8</w:t>
      </w:r>
      <w:r w:rsidR="00970565" w:rsidRPr="007223FB">
        <w:t>.</w:t>
      </w:r>
      <w:r w:rsidRPr="007223FB">
        <w:t>27</w:t>
      </w:r>
      <w:r w:rsidRPr="007223FB">
        <w:rPr>
          <w:bCs/>
        </w:rPr>
        <w:t xml:space="preserve"> millones equivalente a un 28.63%</w:t>
      </w:r>
      <w:r w:rsidR="00970565" w:rsidRPr="007223FB">
        <w:rPr>
          <w:bCs/>
        </w:rPr>
        <w:t>, acumulado de 51%</w:t>
      </w:r>
      <w:r w:rsidRPr="007223FB">
        <w:rPr>
          <w:bCs/>
        </w:rPr>
        <w:t>. Con respecto a los resultados institucionales, se tienen:</w:t>
      </w:r>
    </w:p>
    <w:p w:rsidR="001861CA" w:rsidRPr="007223FB" w:rsidRDefault="001861CA" w:rsidP="003303E4">
      <w:pPr>
        <w:spacing w:before="120" w:after="120" w:line="240" w:lineRule="auto"/>
        <w:rPr>
          <w:bCs/>
        </w:rPr>
      </w:pPr>
      <w:r w:rsidRPr="007223FB">
        <w:rPr>
          <w:bCs/>
        </w:rPr>
        <w:t>-Para el 2026 se ha incrementado el cumplimiento de los Compromisos de los Acuerdos de Paz por la institucionalidad pública responsable en 5.4 puntos porcentuales de 58.5% en el 2017 al 63.9 % en el 2026.</w:t>
      </w:r>
    </w:p>
    <w:p w:rsidR="001861CA" w:rsidRPr="007223FB" w:rsidRDefault="001861CA" w:rsidP="003303E4">
      <w:pPr>
        <w:spacing w:before="120" w:after="120" w:line="240" w:lineRule="auto"/>
        <w:rPr>
          <w:bCs/>
        </w:rPr>
      </w:pPr>
      <w:r w:rsidRPr="007223FB">
        <w:rPr>
          <w:bCs/>
        </w:rPr>
        <w:lastRenderedPageBreak/>
        <w:t>-Para el 2026 se han incrementado los resarcimientos a las víctimas de violaciones a los derechos humanos cometidas durante el enfrentamiento armado interno en 22.1 puntos porcentuales de 48.8 % en el 2017 al 70.9 % en el 2026.</w:t>
      </w:r>
    </w:p>
    <w:p w:rsidR="001861CA" w:rsidRPr="007223FB" w:rsidRDefault="001861CA" w:rsidP="003303E4">
      <w:pPr>
        <w:spacing w:before="120" w:after="120" w:line="240" w:lineRule="auto"/>
        <w:rPr>
          <w:bCs/>
        </w:rPr>
      </w:pPr>
      <w:r w:rsidRPr="007223FB">
        <w:rPr>
          <w:bCs/>
        </w:rPr>
        <w:t>De acuerdo con la información analizada, la institución está realizando esfuerzos para alcanzar los resultados institucionales propuestos, sin embargo aún es necesario fortalecer lo relacionado a la producción asociada a víctimas de violaciones a los Derechos Humanos durante el Enfrentamiento Armado Interno resarcidas integralmente.</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Presidencial de la Mujer</w:t>
      </w:r>
      <w:r w:rsidR="001F1C7B" w:rsidRPr="007223FB">
        <w:rPr>
          <w:b/>
          <w:lang w:val="es-ES" w:eastAsia="es-GT"/>
        </w:rPr>
        <w:t xml:space="preserve"> –Seprem-</w:t>
      </w:r>
    </w:p>
    <w:p w:rsidR="00EB1A5B" w:rsidRPr="007223FB" w:rsidRDefault="00EB1A5B"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 xml:space="preserve">La Secretaría Presidencial de la Mujer (Seprem), es responsable de la formulación y coordinación de las políticas públicas orientadas al desarrollo integral de las mujeres Guatemaltecas. Así como asesorar e impulsar la implementación de la Política Nacional de Promoción y Desarrollo Integral de las Mujeres y Plan de Equidad de Oportunidades 2008-2023 </w:t>
      </w:r>
      <w:r w:rsidR="00C147A0" w:rsidRPr="007223FB">
        <w:rPr>
          <w:rFonts w:cs="Candara"/>
          <w:color w:val="000000" w:themeColor="text1"/>
        </w:rPr>
        <w:t>y del</w:t>
      </w:r>
      <w:r w:rsidRPr="007223FB">
        <w:rPr>
          <w:rFonts w:cs="Candara"/>
          <w:color w:val="000000" w:themeColor="text1"/>
        </w:rPr>
        <w:t xml:space="preserve"> Plan Nacional de Prevención y Erradicación de la Violencia Intrafamiliar y Contra las Mujeres.</w:t>
      </w:r>
    </w:p>
    <w:p w:rsidR="00EB1A5B" w:rsidRPr="007223FB" w:rsidRDefault="00EB1A5B" w:rsidP="003303E4">
      <w:pPr>
        <w:autoSpaceDE w:val="0"/>
        <w:autoSpaceDN w:val="0"/>
        <w:adjustRightInd w:val="0"/>
        <w:spacing w:before="120" w:after="120" w:line="240" w:lineRule="auto"/>
        <w:rPr>
          <w:color w:val="000000" w:themeColor="text1"/>
        </w:rPr>
      </w:pPr>
      <w:r w:rsidRPr="007223FB">
        <w:rPr>
          <w:rFonts w:cs="Calibri"/>
          <w:color w:val="000000" w:themeColor="text1"/>
        </w:rPr>
        <w:t>La Secretaría, planteó un resultado institucional: Para el 2023 472 entidades de la administración pública y gobiernos locales cuentan con asistencia técnica para institucionalizar la equidad entre hombres y mujeres, definió  tres productos y cuatro subproductos: Dirección y coordinación, tiene un avance físico de 58.33%, y lo financiero con el 61.10% de su ejecución,  Personas capacitadas informadas y atendidas sobre violencia intrafamiliar VIF, con un avance físico de 83.11% y su ejecución financiero de 62.93% y el producto Entidades de gobierno</w:t>
      </w:r>
      <w:r w:rsidRPr="007223FB">
        <w:rPr>
          <w:color w:val="000000" w:themeColor="text1"/>
        </w:rPr>
        <w:t xml:space="preserve"> central local y consejos de desarrollo con asistencia técnica para institucionalizar la equidad entre hombres y mujeres con un avance de 75.85% y el 58.75% de su ejecución  financiero. </w:t>
      </w:r>
    </w:p>
    <w:p w:rsidR="00EB1A5B" w:rsidRPr="007223FB" w:rsidRDefault="00EB1A5B" w:rsidP="003303E4">
      <w:pPr>
        <w:autoSpaceDE w:val="0"/>
        <w:autoSpaceDN w:val="0"/>
        <w:adjustRightInd w:val="0"/>
        <w:spacing w:before="120" w:after="120" w:line="240" w:lineRule="auto"/>
        <w:rPr>
          <w:color w:val="000000" w:themeColor="text1"/>
        </w:rPr>
      </w:pPr>
      <w:r w:rsidRPr="007223FB">
        <w:rPr>
          <w:color w:val="000000" w:themeColor="text1"/>
        </w:rPr>
        <w:t xml:space="preserve">De los tres </w:t>
      </w:r>
      <w:r w:rsidR="00C147A0" w:rsidRPr="007223FB">
        <w:rPr>
          <w:color w:val="000000" w:themeColor="text1"/>
        </w:rPr>
        <w:t>productos para</w:t>
      </w:r>
      <w:r w:rsidRPr="007223FB">
        <w:rPr>
          <w:color w:val="000000" w:themeColor="text1"/>
        </w:rPr>
        <w:t xml:space="preserve"> la implementación de </w:t>
      </w:r>
      <w:r w:rsidR="00C147A0" w:rsidRPr="007223FB">
        <w:rPr>
          <w:color w:val="000000" w:themeColor="text1"/>
        </w:rPr>
        <w:t>la Política</w:t>
      </w:r>
      <w:r w:rsidRPr="007223FB">
        <w:t xml:space="preserve"> Nacional de Promoción y Desarrollo Integral de las Mujeres (PNPDIM) y el Plan de Equidad de Oportunidades (PEO) 2008-2023, con un avance </w:t>
      </w:r>
      <w:r w:rsidR="00C147A0" w:rsidRPr="007223FB">
        <w:t>de metas física</w:t>
      </w:r>
      <w:r w:rsidRPr="007223FB">
        <w:t xml:space="preserve"> de 67.25%, de la ejecución del programa de promoción y desarrollo integral de las mujeres con el avance financiero del 60.26</w:t>
      </w:r>
      <w:r w:rsidR="00C147A0" w:rsidRPr="007223FB">
        <w:t>% de</w:t>
      </w:r>
      <w:r w:rsidRPr="007223FB">
        <w:t xml:space="preserve"> su ejecución </w:t>
      </w:r>
      <w:r w:rsidR="00C147A0" w:rsidRPr="007223FB">
        <w:t>del presupuesto</w:t>
      </w:r>
      <w:r w:rsidRPr="007223FB">
        <w:t xml:space="preserve"> vigente de la SEPREM.</w:t>
      </w:r>
    </w:p>
    <w:p w:rsidR="00EB1A5B" w:rsidRPr="007223FB" w:rsidRDefault="00EB1A5B" w:rsidP="003303E4">
      <w:pPr>
        <w:spacing w:before="120" w:after="120" w:line="240" w:lineRule="auto"/>
        <w:rPr>
          <w:color w:val="000000" w:themeColor="text1"/>
        </w:rPr>
      </w:pPr>
      <w:r w:rsidRPr="007223FB">
        <w:rPr>
          <w:rFonts w:cs="Candara"/>
          <w:color w:val="000000" w:themeColor="text1"/>
        </w:rPr>
        <w:t xml:space="preserve">La SEPREM; tiene asignada un presupuestaria vigente de Q 28.55 millones, la cual registra </w:t>
      </w:r>
      <w:r w:rsidR="00C147A0" w:rsidRPr="007223FB">
        <w:rPr>
          <w:rFonts w:cs="Candara"/>
          <w:color w:val="000000" w:themeColor="text1"/>
        </w:rPr>
        <w:t>una ejecución</w:t>
      </w:r>
      <w:r w:rsidRPr="007223FB">
        <w:rPr>
          <w:rFonts w:cs="Candara"/>
          <w:color w:val="000000" w:themeColor="text1"/>
        </w:rPr>
        <w:t xml:space="preserve"> acumulada de enero-agosto de Q.17.20 millones equivalente a Q.60.26%, producto de </w:t>
      </w:r>
      <w:r w:rsidR="00C147A0" w:rsidRPr="007223FB">
        <w:rPr>
          <w:rFonts w:cs="Candara"/>
          <w:color w:val="000000" w:themeColor="text1"/>
        </w:rPr>
        <w:t>la ejecución</w:t>
      </w:r>
      <w:r w:rsidRPr="007223FB">
        <w:rPr>
          <w:rFonts w:cs="Candara"/>
          <w:color w:val="000000" w:themeColor="text1"/>
        </w:rPr>
        <w:t xml:space="preserve"> </w:t>
      </w:r>
      <w:r w:rsidR="00C147A0" w:rsidRPr="007223FB">
        <w:rPr>
          <w:rFonts w:cs="Candara"/>
          <w:color w:val="000000" w:themeColor="text1"/>
        </w:rPr>
        <w:t>del primer</w:t>
      </w:r>
      <w:r w:rsidRPr="007223FB">
        <w:rPr>
          <w:rFonts w:cs="Candara"/>
          <w:color w:val="000000" w:themeColor="text1"/>
        </w:rPr>
        <w:t xml:space="preserve"> </w:t>
      </w:r>
      <w:r w:rsidR="00C147A0" w:rsidRPr="007223FB">
        <w:rPr>
          <w:rFonts w:cs="Candara"/>
          <w:color w:val="000000" w:themeColor="text1"/>
        </w:rPr>
        <w:t>cuatrimestre de</w:t>
      </w:r>
      <w:r w:rsidRPr="007223FB">
        <w:rPr>
          <w:rFonts w:cs="Candara"/>
          <w:color w:val="000000" w:themeColor="text1"/>
        </w:rPr>
        <w:t xml:space="preserve"> Q8.34 millones </w:t>
      </w:r>
      <w:r w:rsidR="00C147A0" w:rsidRPr="007223FB">
        <w:rPr>
          <w:rFonts w:cs="Candara"/>
          <w:color w:val="000000" w:themeColor="text1"/>
        </w:rPr>
        <w:t>equivalente a</w:t>
      </w:r>
      <w:r w:rsidRPr="007223FB">
        <w:rPr>
          <w:rFonts w:cs="Candara"/>
          <w:color w:val="000000" w:themeColor="text1"/>
        </w:rPr>
        <w:t xml:space="preserve"> 29.21</w:t>
      </w:r>
      <w:r w:rsidR="00C147A0" w:rsidRPr="007223FB">
        <w:rPr>
          <w:rFonts w:cs="Candara"/>
          <w:color w:val="000000" w:themeColor="text1"/>
        </w:rPr>
        <w:t>% de</w:t>
      </w:r>
      <w:r w:rsidRPr="007223FB">
        <w:rPr>
          <w:rFonts w:cs="Candara"/>
          <w:color w:val="000000" w:themeColor="text1"/>
        </w:rPr>
        <w:t xml:space="preserve"> enero-abril </w:t>
      </w:r>
      <w:r w:rsidR="00C147A0" w:rsidRPr="007223FB">
        <w:rPr>
          <w:rFonts w:cs="Candara"/>
          <w:color w:val="000000" w:themeColor="text1"/>
        </w:rPr>
        <w:t xml:space="preserve">y </w:t>
      </w:r>
      <w:r w:rsidR="00C147A0" w:rsidRPr="007223FB">
        <w:rPr>
          <w:rFonts w:eastAsia="Calibri" w:cs="Candara"/>
          <w:color w:val="000000" w:themeColor="text1"/>
          <w:lang w:eastAsia="es-GT"/>
        </w:rPr>
        <w:t>en</w:t>
      </w:r>
      <w:r w:rsidRPr="007223FB">
        <w:rPr>
          <w:rFonts w:eastAsia="Calibri" w:cs="Candara"/>
          <w:color w:val="000000" w:themeColor="text1"/>
          <w:lang w:eastAsia="es-GT"/>
        </w:rPr>
        <w:t xml:space="preserve"> el segundo </w:t>
      </w:r>
      <w:r w:rsidR="00C147A0" w:rsidRPr="007223FB">
        <w:rPr>
          <w:rFonts w:eastAsia="Calibri" w:cs="Candara"/>
          <w:color w:val="000000" w:themeColor="text1"/>
          <w:lang w:eastAsia="es-GT"/>
        </w:rPr>
        <w:t>cuatrimestre de</w:t>
      </w:r>
      <w:r w:rsidRPr="007223FB">
        <w:rPr>
          <w:rFonts w:eastAsia="Calibri" w:cs="Candara"/>
          <w:color w:val="000000" w:themeColor="text1"/>
          <w:lang w:eastAsia="es-GT"/>
        </w:rPr>
        <w:t xml:space="preserve"> mayo-agosto es de Q.8.86 millones equivalente al 31.06% de su ejecución financiera.</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Secretaría de Seguridad Alimentaria y Nutricional</w:t>
      </w:r>
      <w:r w:rsidR="001F1C7B" w:rsidRPr="007223FB">
        <w:rPr>
          <w:b/>
          <w:lang w:val="es-ES" w:eastAsia="es-GT"/>
        </w:rPr>
        <w:t xml:space="preserve"> –SESAN-</w:t>
      </w:r>
    </w:p>
    <w:p w:rsidR="00DB33D9" w:rsidRPr="007223FB" w:rsidRDefault="00DB33D9" w:rsidP="003303E4">
      <w:pPr>
        <w:spacing w:before="120" w:after="120" w:line="240" w:lineRule="auto"/>
        <w:rPr>
          <w:highlight w:val="yellow"/>
        </w:rPr>
      </w:pPr>
      <w:r w:rsidRPr="007223FB">
        <w:t xml:space="preserve">Para el cumplimiento de su mandato la SESAN estable un Resultado Institucional </w:t>
      </w:r>
      <w:r w:rsidRPr="007223FB">
        <w:rPr>
          <w:i/>
        </w:rPr>
        <w:t xml:space="preserve">“Para el 2021 desarrollar la coordinación y planificación técnica a través de incrementar en un 5% el presupuesto asignado para SAN y prevención de la Desnutrición Crónica que permita entregar bienes y servicios a la población” </w:t>
      </w:r>
      <w:r w:rsidRPr="007223FB">
        <w:t xml:space="preserve">en el periodo del segundo cuatrimestre del año fiscal de 2019, define </w:t>
      </w:r>
      <w:r w:rsidR="001F1C7B" w:rsidRPr="007223FB">
        <w:t>cinco productos</w:t>
      </w:r>
      <w:r w:rsidRPr="007223FB">
        <w:t xml:space="preserve"> (incluyendo dirección y coordinación).  En la ejecución física de los cuatro productos, en el acumulado de enero a agosto no presenta avance físico en ningún producto, solamente avance financiero, el producto </w:t>
      </w:r>
      <w:r w:rsidRPr="007223FB">
        <w:rPr>
          <w:i/>
        </w:rPr>
        <w:t xml:space="preserve">“Instituciones públicas coordinadas y asistidas técnicamente en el marco de la ley del SINASAN” </w:t>
      </w:r>
      <w:r w:rsidRPr="007223FB">
        <w:t xml:space="preserve">tienen una meta vigente de 16 entidades, sin embargo no se tuvo ningún avance físico y un avance financiero de Q. 1.66 millones, para el producto </w:t>
      </w:r>
      <w:r w:rsidRPr="007223FB">
        <w:rPr>
          <w:i/>
        </w:rPr>
        <w:t xml:space="preserve">“Informes de seguimiento y evaluación de la planificación de Seguridad Alimentaria y Nutricional en el marco de la ley del SINASAN” </w:t>
      </w:r>
      <w:r w:rsidRPr="007223FB">
        <w:t xml:space="preserve">su meta física vigente es de 17 entidades, su avance físico es de 0%, con una ejecución presupuestaria de Q.2.95 millones, para el producto </w:t>
      </w:r>
      <w:r w:rsidRPr="007223FB">
        <w:rPr>
          <w:i/>
        </w:rPr>
        <w:t xml:space="preserve">“Informes de comunicaciones y publicaciones sobre la situación actual y avances en el tema de Seguridad Alimentaria y Nutricional” </w:t>
      </w:r>
      <w:r w:rsidRPr="007223FB">
        <w:t xml:space="preserve">su meta vigente </w:t>
      </w:r>
      <w:r w:rsidRPr="007223FB">
        <w:lastRenderedPageBreak/>
        <w:t xml:space="preserve">es 3 documentos y su ejecución financiera para el segundo cuatrimestre es de Q.1.16 millones; el </w:t>
      </w:r>
      <w:r w:rsidRPr="007223FB">
        <w:rPr>
          <w:i/>
        </w:rPr>
        <w:t xml:space="preserve">“Informes de asistencia técnica y de coordinación con las instituciones públicas de los diferentes ámbitos territoriales en la promoción de los procesos de SAN en el marco de la ley del SINASAN” </w:t>
      </w:r>
      <w:r w:rsidRPr="007223FB">
        <w:t xml:space="preserve">se tiene planificado 381 documentos, el avance físico es de 0%, con una ejecución presupuestaria de Q.4.23 millones. </w:t>
      </w:r>
    </w:p>
    <w:p w:rsidR="00DB33D9" w:rsidRPr="007223FB" w:rsidRDefault="00DB33D9" w:rsidP="003303E4">
      <w:pPr>
        <w:spacing w:before="120" w:after="120" w:line="240" w:lineRule="auto"/>
        <w:rPr>
          <w:lang w:val="es-MX"/>
        </w:rPr>
      </w:pPr>
      <w:r w:rsidRPr="007223FB">
        <w:rPr>
          <w:lang w:val="es-MX"/>
        </w:rPr>
        <w:t xml:space="preserve">El presupuesto inicial y vigente de la SESAN es Q. 50.22millones, para el segundo cuatrimestre se ejecutó Q. </w:t>
      </w:r>
      <w:r w:rsidR="00C147A0" w:rsidRPr="007223FB">
        <w:rPr>
          <w:lang w:val="es-MX"/>
        </w:rPr>
        <w:t>17.75 millones</w:t>
      </w:r>
      <w:r w:rsidRPr="007223FB">
        <w:rPr>
          <w:lang w:val="es-MX"/>
        </w:rPr>
        <w:t xml:space="preserve"> que equivale a un 35.34%, para una ejecución acumulada de Q.31.47 millones durante los meses de enero a agosto del ejercicio fiscal 2019. </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General de la Presidencia</w:t>
      </w:r>
      <w:r w:rsidR="00D4662E" w:rsidRPr="007223FB">
        <w:rPr>
          <w:b/>
          <w:lang w:val="es-ES" w:eastAsia="es-GT"/>
        </w:rPr>
        <w:t xml:space="preserve"> –SGP-</w:t>
      </w:r>
    </w:p>
    <w:p w:rsidR="00D4662E" w:rsidRPr="007223FB" w:rsidRDefault="00D4662E"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La Secretaría General de la Presidencia (SGP), es la institución responsable del apoyo jurídico y administrativo con carácter inmediato y constante al Presidente de la República, tramita los asuntos de gobierno del Despacho Presidencial, coordina y unifica la opinión jurídica de los distintos asuntos administrativos del Gobierno y atiende consultas verbales y otros asuntos.</w:t>
      </w:r>
    </w:p>
    <w:p w:rsidR="00D4662E" w:rsidRPr="007223FB" w:rsidRDefault="00D4662E" w:rsidP="003303E4">
      <w:pPr>
        <w:autoSpaceDE w:val="0"/>
        <w:autoSpaceDN w:val="0"/>
        <w:adjustRightInd w:val="0"/>
        <w:spacing w:before="120" w:after="120" w:line="240" w:lineRule="auto"/>
        <w:rPr>
          <w:rFonts w:cs="Candara"/>
        </w:rPr>
      </w:pPr>
      <w:r w:rsidRPr="007223FB">
        <w:rPr>
          <w:rFonts w:cs="Candara"/>
          <w:color w:val="000000" w:themeColor="text1"/>
        </w:rPr>
        <w:t>La SGP define el Resultado Estratégico, RE1 “</w:t>
      </w:r>
      <w:r w:rsidRPr="007223FB">
        <w:rPr>
          <w:color w:val="000000" w:themeColor="text1"/>
        </w:rPr>
        <w:t>Aumentar la efectividad de la Gobernanza, llevándola de 25 en 2014 a 50 en 2019</w:t>
      </w:r>
      <w:r w:rsidRPr="007223FB">
        <w:rPr>
          <w:rFonts w:cs="Candara"/>
          <w:color w:val="000000" w:themeColor="text1"/>
        </w:rPr>
        <w:t xml:space="preserve">” y los Resultados Institucionales RI1 “Acuerdos en beneficio del gobierno central” y RI2 “Expedientes tramitados en beneficio de entidades, personas jurídicas e individuales”, </w:t>
      </w:r>
      <w:r w:rsidRPr="007223FB">
        <w:rPr>
          <w:rFonts w:cs="Candara"/>
        </w:rPr>
        <w:t>la institución no reportó avance obtenido en los resultados a agosto 2019.</w:t>
      </w:r>
    </w:p>
    <w:p w:rsidR="00D4662E" w:rsidRPr="007223FB" w:rsidRDefault="00D4662E" w:rsidP="003303E4">
      <w:pPr>
        <w:autoSpaceDE w:val="0"/>
        <w:autoSpaceDN w:val="0"/>
        <w:adjustRightInd w:val="0"/>
        <w:spacing w:before="120" w:after="120" w:line="240" w:lineRule="auto"/>
        <w:rPr>
          <w:rFonts w:cs="Candara"/>
          <w:highlight w:val="yellow"/>
        </w:rPr>
      </w:pPr>
      <w:r w:rsidRPr="007223FB">
        <w:rPr>
          <w:rFonts w:cs="Candara"/>
        </w:rPr>
        <w:t xml:space="preserve">Para el segundo cuatrimestre y el acumulado a agosto del 2019, la SGP registra una ejecución de metas físicas y financieras para sus productos de acuerdo a lo programado en el POA 2019. </w:t>
      </w:r>
    </w:p>
    <w:p w:rsidR="00D4662E" w:rsidRPr="007223FB" w:rsidRDefault="00D4662E" w:rsidP="003303E4">
      <w:pPr>
        <w:autoSpaceDE w:val="0"/>
        <w:autoSpaceDN w:val="0"/>
        <w:adjustRightInd w:val="0"/>
        <w:spacing w:before="120" w:after="120" w:line="240" w:lineRule="auto"/>
        <w:rPr>
          <w:rFonts w:cs="Candara"/>
        </w:rPr>
      </w:pPr>
      <w:r w:rsidRPr="007223FB">
        <w:rPr>
          <w:rFonts w:cs="Candara"/>
          <w:color w:val="000000" w:themeColor="text1"/>
        </w:rPr>
        <w:t xml:space="preserve">Para el ejercicio fiscal 2019 a la SGP le fue asignado un presupuesto de Q19 millones, </w:t>
      </w:r>
      <w:r w:rsidRPr="007223FB">
        <w:rPr>
          <w:rFonts w:cs="Candara"/>
        </w:rPr>
        <w:t xml:space="preserve">el cual permanece vigente. La ejecución de mayo a agosto fue de Q5.958 millones equivalente al 31.36% de avance y la ejecución acumulada de enero a agosto fue de Q11.67 millones equivalente al 61.42%, por lo que tiene pendiente de ejecutar un 38.58% </w:t>
      </w:r>
    </w:p>
    <w:p w:rsidR="00D4662E" w:rsidRPr="007223FB" w:rsidRDefault="00D4662E" w:rsidP="003303E4">
      <w:pPr>
        <w:spacing w:before="120" w:after="120" w:line="240" w:lineRule="auto"/>
        <w:rPr>
          <w:rFonts w:cs="Candara"/>
        </w:rPr>
      </w:pPr>
      <w:r w:rsidRPr="007223FB">
        <w:rPr>
          <w:rFonts w:cs="Candara"/>
        </w:rPr>
        <w:t>Los retos más importantes para la SGP para el tercer cuatrimestre del 2019 son: poder medir el avance alcanzado del Resultado Estratégico planteado, así como lograr que sus Resultados Institucionales estén planteados con los criterios de la Gestión por Resultados.</w:t>
      </w:r>
    </w:p>
    <w:p w:rsidR="00D4662E" w:rsidRPr="007223FB" w:rsidRDefault="00D4662E"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Técnica del Consejo Asesor de Seguridad –STCNS-</w:t>
      </w:r>
    </w:p>
    <w:p w:rsidR="00C53A7C" w:rsidRPr="007223FB" w:rsidRDefault="00C53A7C" w:rsidP="003303E4">
      <w:pPr>
        <w:spacing w:before="120" w:after="120" w:line="240" w:lineRule="auto"/>
        <w:rPr>
          <w:lang w:eastAsia="es-GT"/>
        </w:rPr>
      </w:pPr>
      <w:r w:rsidRPr="007223FB">
        <w:rPr>
          <w:lang w:val="es-ES" w:eastAsia="es-GT"/>
        </w:rPr>
        <w:t xml:space="preserve">Secretaria </w:t>
      </w:r>
      <w:r w:rsidR="006D1E6D" w:rsidRPr="007223FB">
        <w:rPr>
          <w:lang w:val="es-ES" w:eastAsia="es-GT"/>
        </w:rPr>
        <w:t>Técnica</w:t>
      </w:r>
      <w:r w:rsidRPr="007223FB">
        <w:rPr>
          <w:lang w:val="es-ES" w:eastAsia="es-GT"/>
        </w:rPr>
        <w:t xml:space="preserve"> del Consejo Asesor de Seguridad e</w:t>
      </w:r>
      <w:r w:rsidRPr="007223FB">
        <w:rPr>
          <w:lang w:eastAsia="es-GT"/>
        </w:rPr>
        <w:t xml:space="preserve">s el ente técnico encargado de brindar asistencia especializada en materia de seguridad al Consejo Nacional de Seguridad según la Ley Marco del Sistema Nacional de Seguridad, para lo cual se compone de tres órganos específicos: Secretaria Técnica, Inspectoría General e Instituto Nacional de Estudios Estratégicos en Seguridad. Para el cumplimiento de sus compromisos cuenta con un presupuesto vigente </w:t>
      </w:r>
      <w:r w:rsidR="00C147A0" w:rsidRPr="007223FB">
        <w:rPr>
          <w:lang w:eastAsia="es-GT"/>
        </w:rPr>
        <w:t>de Q</w:t>
      </w:r>
      <w:r w:rsidRPr="007223FB">
        <w:rPr>
          <w:lang w:eastAsia="es-GT"/>
        </w:rPr>
        <w:t xml:space="preserve"> 28.00 millones de los cuales ejecuto para este periodo Q 7.18 millones, equivalentes a 32.65%.  El monto restante a ejecutar es de Q10.04 millones. La ejecución física y financiera se lleva a cabo de acuerdo a lo planificado.</w:t>
      </w:r>
    </w:p>
    <w:p w:rsidR="00D4662E" w:rsidRPr="007223FB" w:rsidRDefault="00D4662E" w:rsidP="000B07D9">
      <w:pPr>
        <w:pStyle w:val="Prrafodelista"/>
        <w:numPr>
          <w:ilvl w:val="0"/>
          <w:numId w:val="5"/>
        </w:numPr>
        <w:spacing w:before="120" w:after="120" w:line="240" w:lineRule="auto"/>
        <w:contextualSpacing w:val="0"/>
        <w:rPr>
          <w:b/>
          <w:lang w:eastAsia="es-GT"/>
        </w:rPr>
      </w:pPr>
      <w:r w:rsidRPr="007223FB">
        <w:rPr>
          <w:b/>
          <w:lang w:val="es-ES" w:eastAsia="es-GT"/>
        </w:rPr>
        <w:t>Secretaría de Inteligencia Estratégica –SIE-</w:t>
      </w:r>
    </w:p>
    <w:p w:rsidR="006D1E6D" w:rsidRDefault="002A7644" w:rsidP="003303E4">
      <w:pPr>
        <w:spacing w:before="120" w:after="120" w:line="240" w:lineRule="auto"/>
        <w:rPr>
          <w:lang w:eastAsia="es-GT"/>
        </w:rPr>
      </w:pPr>
      <w:r w:rsidRPr="007223FB">
        <w:rPr>
          <w:lang w:val="es-ES" w:eastAsia="es-GT"/>
        </w:rPr>
        <w:t xml:space="preserve">Secretaría de Inteligencia Estratégica del </w:t>
      </w:r>
      <w:r w:rsidR="006D1E6D" w:rsidRPr="007223FB">
        <w:rPr>
          <w:lang w:eastAsia="es-GT"/>
        </w:rPr>
        <w:t xml:space="preserve">es el ente responsable de generar la Información de inteligencia estratégica de riesgos, amenazas y vulnerabilidades interna y externa en el país y actúa bajo dirección de la Presidencia de la República.  Para el cumplimiento de su misión cuenta con un presupuesto vigente de Q 38.81 millones del cual ejecuto en este segundo cuatrimestre   Q 13.10 millones, que equivalen a 33.76%.  El monto </w:t>
      </w:r>
      <w:r w:rsidR="00C147A0" w:rsidRPr="007223FB">
        <w:rPr>
          <w:lang w:eastAsia="es-GT"/>
        </w:rPr>
        <w:t>restante a</w:t>
      </w:r>
      <w:r w:rsidR="006D1E6D" w:rsidRPr="007223FB">
        <w:rPr>
          <w:lang w:eastAsia="es-GT"/>
        </w:rPr>
        <w:t xml:space="preserve"> ejecutar es de Q 14.97 millones, ya que fue efectivo un aumento del vigente de Q3.81 para este periodo.</w:t>
      </w:r>
    </w:p>
    <w:p w:rsidR="00985E6E" w:rsidRDefault="00985E6E">
      <w:pPr>
        <w:jc w:val="left"/>
        <w:rPr>
          <w:b/>
          <w:lang w:val="es-ES" w:eastAsia="es-GT"/>
        </w:rPr>
      </w:pPr>
      <w:r>
        <w:rPr>
          <w:b/>
          <w:lang w:val="es-ES" w:eastAsia="es-GT"/>
        </w:rPr>
        <w:br w:type="page"/>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Secretaria de Obras Sociales de la Esposa del Presidente</w:t>
      </w:r>
      <w:r w:rsidR="00D4662E" w:rsidRPr="007223FB">
        <w:rPr>
          <w:b/>
          <w:lang w:val="es-ES" w:eastAsia="es-GT"/>
        </w:rPr>
        <w:t xml:space="preserve"> –SOSEP-</w:t>
      </w:r>
    </w:p>
    <w:p w:rsidR="0001768F" w:rsidRPr="007223FB" w:rsidRDefault="0001768F"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La Secretaria de Obras Sociales de la Esposa del Presidente (SOSEP), está adscrita a la Presidencia de la República y fue creada con el fin de impulsar e implementar programas de carácter social en beneficio de la niñez, familia y comunidad. Es el responsable de brindar atención a la población de escasos recursos en situación de pobreza y pobreza extrema y en situación de vulnerabilidad de las áreas urbano marginales y rurales del país.</w:t>
      </w:r>
    </w:p>
    <w:p w:rsidR="0001768F" w:rsidRPr="007223FB" w:rsidRDefault="0001768F"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La Sosep planteó tres resultado institucional,  con  cuatro programas estratégicos:  a) Programa Nacional Mis Años Dorados, tiene registrado un productos y  dos subproducto, con un avance de ejecución financiero de 49.37% de su  presupuesto vigente, 2) Creciendo Seguro, definió un producto y tres subproducto con el avance  financiero de 55.38%, 3) Servicio Social, registró un producto y dos subproducto, con el avance financiero de 51.265 y 4) Promoción Comunitaria y Asistencia Alimentaria, tiene registrado un productos y dos subproductos su ejecución financiero alcanzó el  62.20% y la Dirección y Coordinación tiene un avance financiero de 47.01% de su presupuesto vigente en el segundo  cuatrimestre.</w:t>
      </w:r>
    </w:p>
    <w:p w:rsidR="0001768F" w:rsidRPr="007223FB" w:rsidRDefault="0001768F" w:rsidP="003303E4">
      <w:pPr>
        <w:autoSpaceDE w:val="0"/>
        <w:autoSpaceDN w:val="0"/>
        <w:adjustRightInd w:val="0"/>
        <w:spacing w:before="120" w:after="120" w:line="240" w:lineRule="auto"/>
        <w:rPr>
          <w:rFonts w:cs="Candara"/>
          <w:color w:val="000000" w:themeColor="text1"/>
        </w:rPr>
      </w:pPr>
      <w:r w:rsidRPr="007223FB">
        <w:rPr>
          <w:rFonts w:cs="Candara"/>
          <w:color w:val="000000" w:themeColor="text1"/>
        </w:rPr>
        <w:t>De los cinco producto se observa una baja ejecución física no supera el 50% de su ejecución para el desarrollo integral de las niñas y los niños de 0 a 6 años de edades en condiciones de pobreza y extrema pobreza al nivel nacional.</w:t>
      </w:r>
    </w:p>
    <w:p w:rsidR="008D29D9" w:rsidRPr="007223FB" w:rsidRDefault="008D29D9" w:rsidP="009B30CD">
      <w:pPr>
        <w:pStyle w:val="Ttulo4"/>
        <w:numPr>
          <w:ilvl w:val="0"/>
          <w:numId w:val="0"/>
        </w:numPr>
        <w:ind w:left="864"/>
        <w:rPr>
          <w:rFonts w:eastAsia="Times New Roman" w:cs="Times New Roman"/>
          <w:b/>
          <w:lang w:val="es-ES" w:eastAsia="zh-CN"/>
        </w:rPr>
      </w:pPr>
      <w:bookmarkStart w:id="118" w:name="_Toc19524706"/>
      <w:r w:rsidRPr="009B30CD">
        <w:rPr>
          <w:rFonts w:ascii="Candara" w:hAnsi="Candara"/>
          <w:b/>
          <w:color w:val="auto"/>
          <w:sz w:val="18"/>
        </w:rPr>
        <w:t xml:space="preserve">Cuadro </w:t>
      </w:r>
      <w:r w:rsidR="009B30CD">
        <w:rPr>
          <w:rFonts w:ascii="Candara" w:hAnsi="Candara"/>
          <w:b/>
          <w:color w:val="auto"/>
          <w:sz w:val="18"/>
        </w:rPr>
        <w:t>20</w:t>
      </w:r>
      <w:r w:rsidR="009B30CD">
        <w:rPr>
          <w:rFonts w:ascii="Candara" w:hAnsi="Candara"/>
          <w:b/>
          <w:color w:val="auto"/>
          <w:sz w:val="18"/>
        </w:rPr>
        <w:br/>
      </w:r>
      <w:r w:rsidRPr="009B30CD">
        <w:rPr>
          <w:rFonts w:ascii="Candara" w:hAnsi="Candara"/>
          <w:b/>
          <w:color w:val="auto"/>
          <w:sz w:val="18"/>
        </w:rPr>
        <w:t>Resultados Institucionales, metas físicas de la producción</w:t>
      </w:r>
      <w:r w:rsidR="009B30CD">
        <w:rPr>
          <w:rFonts w:ascii="Candara" w:hAnsi="Candara"/>
          <w:b/>
          <w:color w:val="auto"/>
          <w:sz w:val="18"/>
        </w:rPr>
        <w:br/>
      </w:r>
      <w:r w:rsidRPr="009B30CD">
        <w:rPr>
          <w:rFonts w:ascii="Candara" w:hAnsi="Candara"/>
          <w:b/>
          <w:color w:val="auto"/>
          <w:sz w:val="18"/>
        </w:rPr>
        <w:t xml:space="preserve">Ejercicio </w:t>
      </w:r>
      <w:r w:rsidR="00C147A0" w:rsidRPr="009B30CD">
        <w:rPr>
          <w:rFonts w:ascii="Candara" w:hAnsi="Candara"/>
          <w:b/>
          <w:color w:val="auto"/>
          <w:sz w:val="18"/>
        </w:rPr>
        <w:t>FISCAL 2DO</w:t>
      </w:r>
      <w:r w:rsidRPr="009B30CD">
        <w:rPr>
          <w:rFonts w:ascii="Candara" w:hAnsi="Candara"/>
          <w:b/>
          <w:color w:val="auto"/>
          <w:sz w:val="18"/>
        </w:rPr>
        <w:t xml:space="preserve"> Cuatrimestre 2019</w:t>
      </w:r>
      <w:bookmarkEnd w:id="118"/>
    </w:p>
    <w:tbl>
      <w:tblPr>
        <w:tblStyle w:val="Tabladecuadrcula5oscura-nfasis11"/>
        <w:tblW w:w="9963" w:type="dxa"/>
        <w:tblInd w:w="-431" w:type="dxa"/>
        <w:tblLayout w:type="fixed"/>
        <w:tblLook w:val="04A0" w:firstRow="1" w:lastRow="0" w:firstColumn="1" w:lastColumn="0" w:noHBand="0" w:noVBand="1"/>
      </w:tblPr>
      <w:tblGrid>
        <w:gridCol w:w="1419"/>
        <w:gridCol w:w="1701"/>
        <w:gridCol w:w="992"/>
        <w:gridCol w:w="1134"/>
        <w:gridCol w:w="1315"/>
        <w:gridCol w:w="1418"/>
        <w:gridCol w:w="1134"/>
        <w:gridCol w:w="850"/>
      </w:tblGrid>
      <w:tr w:rsidR="008D29D9" w:rsidRPr="003303E4" w:rsidTr="003303E4">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1419" w:type="dxa"/>
            <w:vMerge w:val="restart"/>
          </w:tcPr>
          <w:p w:rsidR="008D29D9" w:rsidRPr="003303E4" w:rsidRDefault="008D29D9" w:rsidP="00D4662E">
            <w:pPr>
              <w:tabs>
                <w:tab w:val="center" w:pos="4362"/>
              </w:tabs>
              <w:jc w:val="center"/>
              <w:rPr>
                <w:rFonts w:eastAsia="Times New Roman" w:cs="Times New Roman"/>
                <w:sz w:val="20"/>
                <w:lang w:eastAsia="es-ES"/>
              </w:rPr>
            </w:pPr>
            <w:r w:rsidRPr="003303E4">
              <w:rPr>
                <w:rFonts w:eastAsia="Times New Roman" w:cs="Times New Roman"/>
                <w:sz w:val="20"/>
                <w:lang w:eastAsia="es-ES"/>
              </w:rPr>
              <w:t>Resultado</w:t>
            </w:r>
          </w:p>
        </w:tc>
        <w:tc>
          <w:tcPr>
            <w:tcW w:w="1701" w:type="dxa"/>
            <w:vMerge w:val="restart"/>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Productos</w:t>
            </w:r>
          </w:p>
        </w:tc>
        <w:tc>
          <w:tcPr>
            <w:tcW w:w="6843" w:type="dxa"/>
            <w:gridSpan w:val="6"/>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Avance físico</w:t>
            </w:r>
          </w:p>
        </w:tc>
      </w:tr>
      <w:tr w:rsidR="008D29D9" w:rsidRPr="003303E4" w:rsidTr="003303E4">
        <w:trPr>
          <w:cnfStyle w:val="100000000000" w:firstRow="1" w:lastRow="0" w:firstColumn="0" w:lastColumn="0" w:oddVBand="0" w:evenVBand="0" w:oddHBand="0" w:evenHBand="0" w:firstRowFirstColumn="0" w:firstRowLastColumn="0" w:lastRowFirstColumn="0" w:lastRowLastColumn="0"/>
          <w:trHeight w:val="132"/>
          <w:tblHeader/>
        </w:trPr>
        <w:tc>
          <w:tcPr>
            <w:cnfStyle w:val="001000000000" w:firstRow="0" w:lastRow="0" w:firstColumn="1" w:lastColumn="0" w:oddVBand="0" w:evenVBand="0" w:oddHBand="0" w:evenHBand="0" w:firstRowFirstColumn="0" w:firstRowLastColumn="0" w:lastRowFirstColumn="0" w:lastRowLastColumn="0"/>
            <w:tcW w:w="1419" w:type="dxa"/>
            <w:vMerge/>
          </w:tcPr>
          <w:p w:rsidR="008D29D9" w:rsidRPr="003303E4" w:rsidRDefault="008D29D9" w:rsidP="00D4662E">
            <w:pPr>
              <w:tabs>
                <w:tab w:val="center" w:pos="4362"/>
              </w:tabs>
              <w:jc w:val="center"/>
              <w:rPr>
                <w:rFonts w:eastAsia="Times New Roman" w:cs="Times New Roman"/>
                <w:sz w:val="20"/>
                <w:lang w:eastAsia="es-ES"/>
              </w:rPr>
            </w:pPr>
          </w:p>
        </w:tc>
        <w:tc>
          <w:tcPr>
            <w:tcW w:w="1701" w:type="dxa"/>
            <w:vMerge/>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p>
        </w:tc>
        <w:tc>
          <w:tcPr>
            <w:tcW w:w="992"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Inicial</w:t>
            </w:r>
          </w:p>
        </w:tc>
        <w:tc>
          <w:tcPr>
            <w:tcW w:w="1134"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Vigente</w:t>
            </w:r>
          </w:p>
        </w:tc>
        <w:tc>
          <w:tcPr>
            <w:tcW w:w="1315"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Ejecutado</w:t>
            </w:r>
          </w:p>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1er</w:t>
            </w:r>
            <w:r w:rsidR="00D4662E" w:rsidRPr="003303E4">
              <w:rPr>
                <w:rFonts w:eastAsia="Times New Roman" w:cs="Times New Roman"/>
                <w:sz w:val="20"/>
                <w:lang w:eastAsia="es-ES"/>
              </w:rPr>
              <w:t>.</w:t>
            </w:r>
            <w:r w:rsidRPr="003303E4">
              <w:rPr>
                <w:rFonts w:eastAsia="Times New Roman" w:cs="Times New Roman"/>
                <w:sz w:val="20"/>
                <w:lang w:eastAsia="es-ES"/>
              </w:rPr>
              <w:t xml:space="preserve"> cuatrimestre</w:t>
            </w:r>
          </w:p>
        </w:tc>
        <w:tc>
          <w:tcPr>
            <w:tcW w:w="1418"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Ejecutado</w:t>
            </w:r>
          </w:p>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2do cuatrimestre</w:t>
            </w:r>
          </w:p>
        </w:tc>
        <w:tc>
          <w:tcPr>
            <w:tcW w:w="1134"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Total Ejecutado</w:t>
            </w:r>
          </w:p>
        </w:tc>
        <w:tc>
          <w:tcPr>
            <w:tcW w:w="850" w:type="dxa"/>
          </w:tcPr>
          <w:p w:rsidR="008D29D9" w:rsidRPr="003303E4" w:rsidRDefault="008D29D9" w:rsidP="00D4662E">
            <w:pPr>
              <w:tabs>
                <w:tab w:val="center" w:pos="4362"/>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 de avance</w:t>
            </w:r>
          </w:p>
        </w:tc>
      </w:tr>
      <w:tr w:rsidR="008D29D9" w:rsidRPr="003303E4" w:rsidTr="00D4662E">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419" w:type="dxa"/>
          </w:tcPr>
          <w:p w:rsidR="008D29D9" w:rsidRPr="003303E4" w:rsidRDefault="008D29D9" w:rsidP="00D4662E">
            <w:pPr>
              <w:tabs>
                <w:tab w:val="center" w:pos="4362"/>
              </w:tabs>
              <w:jc w:val="left"/>
              <w:rPr>
                <w:rFonts w:eastAsia="Times New Roman" w:cs="Times New Roman"/>
                <w:sz w:val="20"/>
                <w:lang w:eastAsia="es-ES"/>
              </w:rPr>
            </w:pPr>
            <w:r w:rsidRPr="003303E4">
              <w:rPr>
                <w:sz w:val="20"/>
              </w:rPr>
              <w:t>Adultos mayores en condición de pobreza y pobreza extrema beneficiados con atención integral</w:t>
            </w:r>
          </w:p>
        </w:tc>
        <w:tc>
          <w:tcPr>
            <w:tcW w:w="1701" w:type="dxa"/>
          </w:tcPr>
          <w:p w:rsidR="008D29D9" w:rsidRPr="003303E4" w:rsidRDefault="008D29D9" w:rsidP="00D4662E">
            <w:pPr>
              <w:tabs>
                <w:tab w:val="center" w:pos="4362"/>
              </w:tabs>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sz w:val="20"/>
              </w:rPr>
              <w:t>Adultos mayores en condición de pobreza y pobreza extrema beneficiados con atención integral</w:t>
            </w:r>
          </w:p>
        </w:tc>
        <w:tc>
          <w:tcPr>
            <w:tcW w:w="992"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5,370</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5,375</w:t>
            </w:r>
          </w:p>
        </w:tc>
        <w:tc>
          <w:tcPr>
            <w:tcW w:w="1315"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4,162</w:t>
            </w:r>
          </w:p>
        </w:tc>
        <w:tc>
          <w:tcPr>
            <w:tcW w:w="1418"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320</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4,482</w:t>
            </w:r>
          </w:p>
        </w:tc>
        <w:tc>
          <w:tcPr>
            <w:tcW w:w="850"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83.39</w:t>
            </w:r>
          </w:p>
        </w:tc>
      </w:tr>
      <w:tr w:rsidR="008D29D9" w:rsidRPr="003303E4" w:rsidTr="00D4662E">
        <w:trPr>
          <w:trHeight w:val="2070"/>
        </w:trPr>
        <w:tc>
          <w:tcPr>
            <w:cnfStyle w:val="001000000000" w:firstRow="0" w:lastRow="0" w:firstColumn="1" w:lastColumn="0" w:oddVBand="0" w:evenVBand="0" w:oddHBand="0" w:evenHBand="0" w:firstRowFirstColumn="0" w:firstRowLastColumn="0" w:lastRowFirstColumn="0" w:lastRowLastColumn="0"/>
            <w:tcW w:w="1419" w:type="dxa"/>
          </w:tcPr>
          <w:p w:rsidR="008D29D9" w:rsidRPr="003303E4" w:rsidRDefault="008D29D9" w:rsidP="00D4662E">
            <w:pPr>
              <w:tabs>
                <w:tab w:val="center" w:pos="4362"/>
              </w:tabs>
              <w:jc w:val="left"/>
              <w:rPr>
                <w:rFonts w:eastAsia="Times New Roman" w:cs="Times New Roman"/>
                <w:sz w:val="20"/>
                <w:lang w:eastAsia="es-ES"/>
              </w:rPr>
            </w:pPr>
            <w:r w:rsidRPr="003303E4">
              <w:rPr>
                <w:sz w:val="20"/>
              </w:rPr>
              <w:t>Mujeres beneficiadas con capacitación y asistencia técnica en proyectos productivos</w:t>
            </w:r>
          </w:p>
        </w:tc>
        <w:tc>
          <w:tcPr>
            <w:tcW w:w="1701" w:type="dxa"/>
          </w:tcPr>
          <w:p w:rsidR="008D29D9" w:rsidRPr="003303E4" w:rsidRDefault="008D29D9" w:rsidP="00D4662E">
            <w:pPr>
              <w:tabs>
                <w:tab w:val="center" w:pos="4362"/>
              </w:tabs>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sz w:val="20"/>
              </w:rPr>
              <w:t>Mujeres beneficiadas con capacitación y asistencia técnica en proyectos productivos</w:t>
            </w:r>
          </w:p>
        </w:tc>
        <w:tc>
          <w:tcPr>
            <w:tcW w:w="992"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20"/>
              </w:rPr>
            </w:pPr>
            <w:r w:rsidRPr="003303E4">
              <w:rPr>
                <w:rFonts w:eastAsia="Calibri" w:cs="Arial"/>
                <w:sz w:val="20"/>
              </w:rPr>
              <w:t>69,300</w:t>
            </w:r>
          </w:p>
        </w:tc>
        <w:tc>
          <w:tcPr>
            <w:tcW w:w="1134"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81,414</w:t>
            </w:r>
          </w:p>
        </w:tc>
        <w:tc>
          <w:tcPr>
            <w:tcW w:w="1315"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65,146</w:t>
            </w:r>
          </w:p>
        </w:tc>
        <w:tc>
          <w:tcPr>
            <w:tcW w:w="1418"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20,119</w:t>
            </w:r>
          </w:p>
        </w:tc>
        <w:tc>
          <w:tcPr>
            <w:tcW w:w="1134"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65,146</w:t>
            </w:r>
          </w:p>
        </w:tc>
        <w:tc>
          <w:tcPr>
            <w:tcW w:w="850" w:type="dxa"/>
          </w:tcPr>
          <w:p w:rsidR="008D29D9" w:rsidRPr="003303E4" w:rsidRDefault="008D29D9" w:rsidP="00D4662E">
            <w:pPr>
              <w:tabs>
                <w:tab w:val="center" w:pos="4362"/>
              </w:tabs>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80.02</w:t>
            </w:r>
          </w:p>
        </w:tc>
      </w:tr>
      <w:tr w:rsidR="008D29D9" w:rsidRPr="003303E4" w:rsidTr="00D4662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419" w:type="dxa"/>
          </w:tcPr>
          <w:p w:rsidR="008D29D9" w:rsidRPr="003303E4" w:rsidRDefault="008D29D9" w:rsidP="00D4662E">
            <w:pPr>
              <w:tabs>
                <w:tab w:val="center" w:pos="4362"/>
              </w:tabs>
              <w:jc w:val="left"/>
              <w:rPr>
                <w:rFonts w:eastAsia="Times New Roman" w:cs="Times New Roman"/>
                <w:sz w:val="20"/>
                <w:lang w:eastAsia="es-ES"/>
              </w:rPr>
            </w:pPr>
          </w:p>
        </w:tc>
        <w:tc>
          <w:tcPr>
            <w:tcW w:w="1701" w:type="dxa"/>
          </w:tcPr>
          <w:p w:rsidR="008D29D9" w:rsidRPr="003303E4" w:rsidRDefault="008D29D9" w:rsidP="00D4662E">
            <w:pPr>
              <w:tabs>
                <w:tab w:val="center" w:pos="4362"/>
              </w:tabs>
              <w:jc w:val="left"/>
              <w:cnfStyle w:val="000000100000" w:firstRow="0" w:lastRow="0" w:firstColumn="0" w:lastColumn="0" w:oddVBand="0" w:evenVBand="0" w:oddHBand="1" w:evenHBand="0" w:firstRowFirstColumn="0" w:firstRowLastColumn="0" w:lastRowFirstColumn="0" w:lastRowLastColumn="0"/>
              <w:rPr>
                <w:sz w:val="20"/>
              </w:rPr>
            </w:pPr>
            <w:r w:rsidRPr="003303E4">
              <w:rPr>
                <w:sz w:val="20"/>
              </w:rPr>
              <w:t xml:space="preserve">Niños y niñas de 0 a 6 años en situación de pobreza y pobreza extrema beneficiados con </w:t>
            </w:r>
            <w:r w:rsidRPr="003303E4">
              <w:rPr>
                <w:sz w:val="20"/>
              </w:rPr>
              <w:lastRenderedPageBreak/>
              <w:t>atención integral en Hogares Comunitarios</w:t>
            </w:r>
          </w:p>
        </w:tc>
        <w:tc>
          <w:tcPr>
            <w:tcW w:w="992"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20"/>
              </w:rPr>
            </w:pPr>
            <w:r w:rsidRPr="003303E4">
              <w:rPr>
                <w:rFonts w:eastAsia="Calibri" w:cs="Arial"/>
                <w:sz w:val="20"/>
              </w:rPr>
              <w:lastRenderedPageBreak/>
              <w:t>22,000</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16,898</w:t>
            </w:r>
          </w:p>
        </w:tc>
        <w:tc>
          <w:tcPr>
            <w:tcW w:w="1315"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45,296</w:t>
            </w:r>
          </w:p>
        </w:tc>
        <w:tc>
          <w:tcPr>
            <w:tcW w:w="1418"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270</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15,566</w:t>
            </w:r>
          </w:p>
        </w:tc>
        <w:tc>
          <w:tcPr>
            <w:tcW w:w="850"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92.12</w:t>
            </w:r>
          </w:p>
        </w:tc>
      </w:tr>
      <w:tr w:rsidR="008D29D9" w:rsidRPr="003303E4" w:rsidTr="00D4662E">
        <w:trPr>
          <w:trHeight w:val="211"/>
        </w:trPr>
        <w:tc>
          <w:tcPr>
            <w:cnfStyle w:val="001000000000" w:firstRow="0" w:lastRow="0" w:firstColumn="1" w:lastColumn="0" w:oddVBand="0" w:evenVBand="0" w:oddHBand="0" w:evenHBand="0" w:firstRowFirstColumn="0" w:firstRowLastColumn="0" w:lastRowFirstColumn="0" w:lastRowLastColumn="0"/>
            <w:tcW w:w="1419" w:type="dxa"/>
          </w:tcPr>
          <w:p w:rsidR="008D29D9" w:rsidRPr="003303E4" w:rsidRDefault="008D29D9" w:rsidP="00D4662E">
            <w:pPr>
              <w:tabs>
                <w:tab w:val="center" w:pos="4362"/>
              </w:tabs>
              <w:jc w:val="left"/>
              <w:rPr>
                <w:rFonts w:eastAsia="Times New Roman" w:cs="Times New Roman"/>
                <w:sz w:val="20"/>
                <w:lang w:eastAsia="es-ES"/>
              </w:rPr>
            </w:pPr>
            <w:r w:rsidRPr="003303E4">
              <w:rPr>
                <w:sz w:val="20"/>
              </w:rPr>
              <w:lastRenderedPageBreak/>
              <w:t>Personas con problemas de salud en condición de pobreza y pobreza extrema beneficiadas con atención en servicio social</w:t>
            </w:r>
          </w:p>
          <w:p w:rsidR="008D29D9" w:rsidRPr="003303E4" w:rsidRDefault="008D29D9" w:rsidP="00D4662E">
            <w:pPr>
              <w:tabs>
                <w:tab w:val="center" w:pos="4362"/>
              </w:tabs>
              <w:jc w:val="left"/>
              <w:rPr>
                <w:rFonts w:eastAsia="Times New Roman" w:cs="Times New Roman"/>
                <w:sz w:val="20"/>
                <w:lang w:eastAsia="es-ES"/>
              </w:rPr>
            </w:pPr>
          </w:p>
        </w:tc>
        <w:tc>
          <w:tcPr>
            <w:tcW w:w="1701" w:type="dxa"/>
          </w:tcPr>
          <w:p w:rsidR="008D29D9" w:rsidRPr="003303E4" w:rsidRDefault="008D29D9" w:rsidP="00D4662E">
            <w:pPr>
              <w:tabs>
                <w:tab w:val="center" w:pos="4362"/>
              </w:tabs>
              <w:jc w:val="left"/>
              <w:cnfStyle w:val="000000000000" w:firstRow="0" w:lastRow="0" w:firstColumn="0" w:lastColumn="0" w:oddVBand="0" w:evenVBand="0" w:oddHBand="0" w:evenHBand="0" w:firstRowFirstColumn="0" w:firstRowLastColumn="0" w:lastRowFirstColumn="0" w:lastRowLastColumn="0"/>
              <w:rPr>
                <w:sz w:val="20"/>
              </w:rPr>
            </w:pPr>
            <w:r w:rsidRPr="003303E4">
              <w:rPr>
                <w:sz w:val="20"/>
              </w:rPr>
              <w:t>Personas con problemas de salud en condición de pobreza y pobreza extrema beneficiadas con atención en servicio social</w:t>
            </w:r>
          </w:p>
        </w:tc>
        <w:tc>
          <w:tcPr>
            <w:tcW w:w="992"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Calibri" w:cs="Arial"/>
                <w:sz w:val="20"/>
              </w:rPr>
            </w:pPr>
            <w:r w:rsidRPr="003303E4">
              <w:rPr>
                <w:rFonts w:eastAsia="Calibri" w:cs="Arial"/>
                <w:sz w:val="20"/>
              </w:rPr>
              <w:t>80,744</w:t>
            </w:r>
          </w:p>
        </w:tc>
        <w:tc>
          <w:tcPr>
            <w:tcW w:w="1134"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80,744</w:t>
            </w:r>
          </w:p>
        </w:tc>
        <w:tc>
          <w:tcPr>
            <w:tcW w:w="1315"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17,872</w:t>
            </w:r>
          </w:p>
        </w:tc>
        <w:tc>
          <w:tcPr>
            <w:tcW w:w="1418"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38,772</w:t>
            </w:r>
          </w:p>
        </w:tc>
        <w:tc>
          <w:tcPr>
            <w:tcW w:w="1134"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56,644</w:t>
            </w:r>
          </w:p>
        </w:tc>
        <w:tc>
          <w:tcPr>
            <w:tcW w:w="850" w:type="dxa"/>
          </w:tcPr>
          <w:p w:rsidR="008D29D9" w:rsidRPr="003303E4" w:rsidRDefault="008D29D9" w:rsidP="00D4662E">
            <w:pPr>
              <w:tabs>
                <w:tab w:val="center" w:pos="4362"/>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70.15</w:t>
            </w:r>
          </w:p>
        </w:tc>
      </w:tr>
      <w:tr w:rsidR="008D29D9" w:rsidRPr="003303E4" w:rsidTr="00D4662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419" w:type="dxa"/>
          </w:tcPr>
          <w:p w:rsidR="008D29D9" w:rsidRPr="003303E4" w:rsidRDefault="008D29D9" w:rsidP="00D4662E">
            <w:pPr>
              <w:tabs>
                <w:tab w:val="center" w:pos="4362"/>
              </w:tabs>
              <w:jc w:val="left"/>
              <w:rPr>
                <w:sz w:val="20"/>
              </w:rPr>
            </w:pPr>
          </w:p>
        </w:tc>
        <w:tc>
          <w:tcPr>
            <w:tcW w:w="1701" w:type="dxa"/>
          </w:tcPr>
          <w:p w:rsidR="008D29D9" w:rsidRPr="003303E4" w:rsidRDefault="008D29D9" w:rsidP="00D4662E">
            <w:pPr>
              <w:tabs>
                <w:tab w:val="center" w:pos="4362"/>
              </w:tabs>
              <w:jc w:val="left"/>
              <w:cnfStyle w:val="000000100000" w:firstRow="0" w:lastRow="0" w:firstColumn="0" w:lastColumn="0" w:oddVBand="0" w:evenVBand="0" w:oddHBand="1" w:evenHBand="0" w:firstRowFirstColumn="0" w:firstRowLastColumn="0" w:lastRowFirstColumn="0" w:lastRowLastColumn="0"/>
              <w:rPr>
                <w:sz w:val="20"/>
              </w:rPr>
            </w:pPr>
            <w:r w:rsidRPr="003303E4">
              <w:rPr>
                <w:sz w:val="20"/>
              </w:rPr>
              <w:t>Dirección y Coordinación</w:t>
            </w:r>
          </w:p>
        </w:tc>
        <w:tc>
          <w:tcPr>
            <w:tcW w:w="992"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Calibri" w:cs="Arial"/>
                <w:sz w:val="20"/>
              </w:rPr>
            </w:pPr>
            <w:r w:rsidRPr="003303E4">
              <w:rPr>
                <w:rFonts w:eastAsia="Calibri" w:cs="Arial"/>
                <w:sz w:val="20"/>
              </w:rPr>
              <w:t>12</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12</w:t>
            </w:r>
          </w:p>
        </w:tc>
        <w:tc>
          <w:tcPr>
            <w:tcW w:w="1315"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4</w:t>
            </w:r>
          </w:p>
        </w:tc>
        <w:tc>
          <w:tcPr>
            <w:tcW w:w="1418"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4</w:t>
            </w:r>
          </w:p>
        </w:tc>
        <w:tc>
          <w:tcPr>
            <w:tcW w:w="1134"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8</w:t>
            </w:r>
          </w:p>
        </w:tc>
        <w:tc>
          <w:tcPr>
            <w:tcW w:w="850" w:type="dxa"/>
          </w:tcPr>
          <w:p w:rsidR="008D29D9" w:rsidRPr="003303E4" w:rsidRDefault="008D29D9" w:rsidP="00D4662E">
            <w:pPr>
              <w:tabs>
                <w:tab w:val="center" w:pos="4362"/>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lang w:eastAsia="es-ES"/>
              </w:rPr>
            </w:pPr>
            <w:r w:rsidRPr="003303E4">
              <w:rPr>
                <w:rFonts w:eastAsia="Times New Roman" w:cs="Times New Roman"/>
                <w:sz w:val="20"/>
                <w:lang w:eastAsia="es-ES"/>
              </w:rPr>
              <w:t>66.67</w:t>
            </w:r>
          </w:p>
        </w:tc>
      </w:tr>
    </w:tbl>
    <w:p w:rsidR="0001768F" w:rsidRPr="0085409D" w:rsidRDefault="008D29D9" w:rsidP="0001768F">
      <w:pPr>
        <w:autoSpaceDE w:val="0"/>
        <w:autoSpaceDN w:val="0"/>
        <w:adjustRightInd w:val="0"/>
        <w:spacing w:after="0" w:line="240" w:lineRule="auto"/>
        <w:rPr>
          <w:rFonts w:cs="Candara"/>
          <w:color w:val="000000" w:themeColor="text1"/>
          <w:sz w:val="20"/>
        </w:rPr>
      </w:pPr>
      <w:r w:rsidRPr="0085409D">
        <w:rPr>
          <w:rFonts w:eastAsia="Calibri" w:cs="Times New Roman"/>
          <w:sz w:val="20"/>
        </w:rPr>
        <w:t>Fuente: Elaboración SEGEPLAN con base datos de SIPLAN y SICOIN de fecha 5/09/2019</w:t>
      </w:r>
    </w:p>
    <w:p w:rsidR="00212CC2" w:rsidRPr="007223FB" w:rsidRDefault="00D4662E" w:rsidP="003303E4">
      <w:pPr>
        <w:spacing w:before="120" w:after="120" w:line="240" w:lineRule="auto"/>
      </w:pPr>
      <w:r w:rsidRPr="007223FB">
        <w:rPr>
          <w:rFonts w:cs="Candara"/>
          <w:color w:val="000000" w:themeColor="text1"/>
        </w:rPr>
        <w:t>La SOSEP; tiene asignado un presupuesto</w:t>
      </w:r>
      <w:r w:rsidR="00212CC2" w:rsidRPr="007223FB">
        <w:rPr>
          <w:rFonts w:cs="Candara"/>
          <w:color w:val="000000" w:themeColor="text1"/>
        </w:rPr>
        <w:t xml:space="preserve"> </w:t>
      </w:r>
      <w:r w:rsidRPr="007223FB">
        <w:rPr>
          <w:rFonts w:cs="Candara"/>
          <w:color w:val="000000" w:themeColor="text1"/>
        </w:rPr>
        <w:t>vigente de</w:t>
      </w:r>
      <w:r w:rsidR="00212CC2" w:rsidRPr="007223FB">
        <w:rPr>
          <w:rFonts w:cs="Candara"/>
          <w:color w:val="000000" w:themeColor="text1"/>
        </w:rPr>
        <w:t xml:space="preserve"> Q.200.35 millones de los cuales se registra una ejecución acumulada de enero-agosto de Q.110.00 millones equivalente a Q.54.90%, producto de </w:t>
      </w:r>
      <w:r w:rsidRPr="007223FB">
        <w:rPr>
          <w:rFonts w:cs="Candara"/>
          <w:color w:val="000000" w:themeColor="text1"/>
        </w:rPr>
        <w:t>la ejecución</w:t>
      </w:r>
      <w:r w:rsidR="00212CC2" w:rsidRPr="007223FB">
        <w:rPr>
          <w:rFonts w:cs="Candara"/>
          <w:color w:val="000000" w:themeColor="text1"/>
        </w:rPr>
        <w:t xml:space="preserve"> </w:t>
      </w:r>
      <w:r w:rsidRPr="007223FB">
        <w:rPr>
          <w:rFonts w:cs="Candara"/>
          <w:color w:val="000000" w:themeColor="text1"/>
        </w:rPr>
        <w:t>del primer</w:t>
      </w:r>
      <w:r w:rsidR="00212CC2" w:rsidRPr="007223FB">
        <w:rPr>
          <w:rFonts w:cs="Candara"/>
          <w:color w:val="000000" w:themeColor="text1"/>
        </w:rPr>
        <w:t xml:space="preserve"> cuatrimestre es de Q48.07 millones </w:t>
      </w:r>
      <w:r w:rsidRPr="007223FB">
        <w:rPr>
          <w:rFonts w:cs="Candara"/>
          <w:color w:val="000000" w:themeColor="text1"/>
        </w:rPr>
        <w:t>equivalente al</w:t>
      </w:r>
      <w:r w:rsidR="00212CC2" w:rsidRPr="007223FB">
        <w:rPr>
          <w:rFonts w:cs="Candara"/>
          <w:color w:val="000000" w:themeColor="text1"/>
        </w:rPr>
        <w:t xml:space="preserve"> 24</w:t>
      </w:r>
      <w:r w:rsidRPr="007223FB">
        <w:rPr>
          <w:rFonts w:cs="Candara"/>
          <w:color w:val="000000" w:themeColor="text1"/>
        </w:rPr>
        <w:t>% de</w:t>
      </w:r>
      <w:r w:rsidR="00212CC2" w:rsidRPr="007223FB">
        <w:rPr>
          <w:rFonts w:cs="Candara"/>
          <w:color w:val="000000" w:themeColor="text1"/>
        </w:rPr>
        <w:t xml:space="preserve"> enero-abril </w:t>
      </w:r>
      <w:r w:rsidRPr="007223FB">
        <w:rPr>
          <w:rFonts w:cs="Candara"/>
          <w:color w:val="000000" w:themeColor="text1"/>
        </w:rPr>
        <w:t xml:space="preserve">y </w:t>
      </w:r>
      <w:r w:rsidRPr="007223FB">
        <w:rPr>
          <w:rFonts w:eastAsia="Calibri" w:cs="Candara"/>
          <w:color w:val="000000" w:themeColor="text1"/>
          <w:lang w:eastAsia="es-GT"/>
        </w:rPr>
        <w:t>el</w:t>
      </w:r>
      <w:r w:rsidR="00212CC2" w:rsidRPr="007223FB">
        <w:rPr>
          <w:rFonts w:eastAsia="Calibri" w:cs="Candara"/>
          <w:color w:val="000000" w:themeColor="text1"/>
          <w:lang w:eastAsia="es-GT"/>
        </w:rPr>
        <w:t xml:space="preserve"> segundo </w:t>
      </w:r>
      <w:r w:rsidRPr="007223FB">
        <w:rPr>
          <w:rFonts w:eastAsia="Calibri" w:cs="Candara"/>
          <w:color w:val="000000" w:themeColor="text1"/>
          <w:lang w:eastAsia="es-GT"/>
        </w:rPr>
        <w:t>cuatrimestre de</w:t>
      </w:r>
      <w:r w:rsidR="00212CC2" w:rsidRPr="007223FB">
        <w:rPr>
          <w:rFonts w:eastAsia="Calibri" w:cs="Candara"/>
          <w:color w:val="000000" w:themeColor="text1"/>
          <w:lang w:eastAsia="es-GT"/>
        </w:rPr>
        <w:t xml:space="preserve"> mayo-agosto es de Q.61.92 millones equivalente al 30.91% de su ejecución financiera</w:t>
      </w:r>
      <w:r w:rsidR="00212CC2" w:rsidRPr="007223FB">
        <w:rPr>
          <w:rFonts w:eastAsia="Calibri" w:cs="Candara"/>
          <w:color w:val="FF0000"/>
          <w:lang w:eastAsia="es-GT"/>
        </w:rPr>
        <w:t>.</w:t>
      </w:r>
    </w:p>
    <w:p w:rsidR="004348F7"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Secretaria Privada de la Presidencia</w:t>
      </w:r>
      <w:r w:rsidR="004348F7" w:rsidRPr="007223FB">
        <w:rPr>
          <w:b/>
          <w:lang w:val="es-ES" w:eastAsia="es-GT"/>
        </w:rPr>
        <w:t xml:space="preserve"> </w:t>
      </w:r>
      <w:r w:rsidR="00D4662E" w:rsidRPr="007223FB">
        <w:rPr>
          <w:b/>
          <w:lang w:val="es-ES" w:eastAsia="es-GT"/>
        </w:rPr>
        <w:t xml:space="preserve">–SPP- </w:t>
      </w:r>
    </w:p>
    <w:p w:rsidR="00540FA1" w:rsidRPr="007223FB" w:rsidRDefault="00540FA1" w:rsidP="003303E4">
      <w:pPr>
        <w:spacing w:before="120" w:after="120" w:line="240" w:lineRule="auto"/>
        <w:rPr>
          <w:rFonts w:cs="Candara"/>
          <w:color w:val="000000" w:themeColor="text1"/>
        </w:rPr>
      </w:pPr>
      <w:r w:rsidRPr="007223FB">
        <w:rPr>
          <w:rFonts w:cs="Candara"/>
          <w:color w:val="000000" w:themeColor="text1"/>
        </w:rPr>
        <w:t>La Secretaría Privada de la Presidencia (SPP), tiene a su cargo; atender los asuntos de carácter privado del Presidente de la República; llevar el registro y control de las audiencias, apoyar la gestión de los asuntos que se sometan a consideración del Presidente; brindar atención a los planteamientos que se le presenten y atender los asuntos y relaciones políticas que le encomiende el Presidente. Le compete, la función de llevar la agenda del señor Presidente y atender los asuntos de carácter privado y los asuntos y relaciones políticas que él le encomiende.</w:t>
      </w:r>
    </w:p>
    <w:p w:rsidR="00540FA1" w:rsidRPr="007223FB" w:rsidRDefault="00540FA1" w:rsidP="003303E4">
      <w:pPr>
        <w:spacing w:before="120" w:after="120" w:line="240" w:lineRule="auto"/>
      </w:pPr>
      <w:r w:rsidRPr="007223FB">
        <w:rPr>
          <w:rFonts w:cs="Candara"/>
          <w:color w:val="000000" w:themeColor="text1"/>
        </w:rPr>
        <w:t>La Secretaría, definió un resultado institucional:</w:t>
      </w:r>
      <w:r w:rsidRPr="007223FB">
        <w:t xml:space="preserve"> Se consolidará como una institución fortalecida para apoyar la Gestión Presidencial en el marco del Plan y la Política Nacional de Desarrollo y la Política General de Gobierno</w:t>
      </w:r>
      <w:r w:rsidRPr="007223FB">
        <w:rPr>
          <w:color w:val="000000" w:themeColor="text1"/>
        </w:rPr>
        <w:t xml:space="preserve">, tiene registrado dos:1) Producto: </w:t>
      </w:r>
      <w:r w:rsidRPr="007223FB">
        <w:rPr>
          <w:rFonts w:eastAsia="Calibri" w:cs="Candara"/>
          <w:color w:val="000000" w:themeColor="text1"/>
          <w:lang w:eastAsia="es-GT"/>
        </w:rPr>
        <w:t>I</w:t>
      </w:r>
      <w:r w:rsidRPr="007223FB">
        <w:t>nformes de Fortalecimiento Institucional y de Asuntos Específicos a la Presidencia de la República, con un avance del 35.19%  de metas físicas y la ejecución financiero es de 48.02%  y  Dirección y Coordinación, su avance es el 66.67% y el avance financiero de 55.31%, de su presupuesto vigente, para la gestión y seguimiento de las metas estratégicas de desarrollo de las  prioridades de país.</w:t>
      </w:r>
    </w:p>
    <w:p w:rsidR="00540FA1" w:rsidRPr="007223FB" w:rsidRDefault="00540FA1" w:rsidP="003303E4">
      <w:pPr>
        <w:spacing w:before="120" w:after="120" w:line="240" w:lineRule="auto"/>
        <w:rPr>
          <w:rFonts w:eastAsia="Calibri" w:cs="Candara"/>
          <w:color w:val="000000" w:themeColor="text1"/>
          <w:lang w:eastAsia="es-GT"/>
        </w:rPr>
      </w:pPr>
      <w:r w:rsidRPr="007223FB">
        <w:rPr>
          <w:rFonts w:cs="Candara"/>
          <w:color w:val="000000" w:themeColor="text1"/>
        </w:rPr>
        <w:t>La  SPPR; tiene un presupuesto vigente  de Q 15.50 millones, la cual se observa la  ejecución acumulada de enero-agosto de Q8.34 millones equivalente a Q.53.84%, producto de la ejecución del primer cuatrimestre de Q4.09 millones equivalente a 26.39%  de enero-abril y</w:t>
      </w:r>
      <w:r w:rsidRPr="007223FB">
        <w:rPr>
          <w:rFonts w:eastAsia="Calibri" w:cs="Candara"/>
          <w:color w:val="000000" w:themeColor="text1"/>
          <w:lang w:eastAsia="es-GT"/>
        </w:rPr>
        <w:t xml:space="preserve"> en el segundo cuatrimestre  de mayo-agosto es de Q4.25 millones equivalente al 27.45% de su ejecución financiera.</w:t>
      </w:r>
    </w:p>
    <w:p w:rsidR="001617C9" w:rsidRDefault="001617C9">
      <w:pPr>
        <w:jc w:val="left"/>
        <w:rPr>
          <w:b/>
          <w:lang w:val="es-ES" w:eastAsia="es-GT"/>
        </w:rPr>
      </w:pPr>
      <w:r>
        <w:rPr>
          <w:b/>
          <w:lang w:val="es-ES" w:eastAsia="es-GT"/>
        </w:rPr>
        <w:br w:type="page"/>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 xml:space="preserve">Secretaría contra la Violencia Sexual, Explotación y Trata de Personas </w:t>
      </w:r>
      <w:r w:rsidR="00D4662E" w:rsidRPr="007223FB">
        <w:rPr>
          <w:b/>
          <w:lang w:val="es-ES" w:eastAsia="es-GT"/>
        </w:rPr>
        <w:t>–</w:t>
      </w:r>
      <w:r w:rsidRPr="007223FB">
        <w:rPr>
          <w:b/>
          <w:lang w:val="es-ES" w:eastAsia="es-GT"/>
        </w:rPr>
        <w:t xml:space="preserve"> Vicepresidencia</w:t>
      </w:r>
      <w:r w:rsidR="00D4662E" w:rsidRPr="007223FB">
        <w:rPr>
          <w:b/>
          <w:lang w:val="es-ES" w:eastAsia="es-GT"/>
        </w:rPr>
        <w:t xml:space="preserve"> –SVET-</w:t>
      </w:r>
    </w:p>
    <w:p w:rsidR="006B7171" w:rsidRPr="007223FB" w:rsidRDefault="006B7171" w:rsidP="003303E4">
      <w:pPr>
        <w:autoSpaceDE w:val="0"/>
        <w:autoSpaceDN w:val="0"/>
        <w:adjustRightInd w:val="0"/>
        <w:spacing w:before="120" w:after="120" w:line="240" w:lineRule="auto"/>
        <w:rPr>
          <w:rFonts w:cs="Candara"/>
        </w:rPr>
      </w:pPr>
      <w:r w:rsidRPr="007223FB">
        <w:rPr>
          <w:rFonts w:cs="Candara"/>
        </w:rPr>
        <w:t>La Secretaría contra la Violencia Sexual, Explotación y Trata de Personas (SVET) es la entidad del Estado adscrita administrativamente a la Vicepresidencia de la República, creada a través del artículo 4 del decreto 9-2009 Ley Contra la Violencia Sexual, en donde el artículo 6 de la misma ley establece sus funciones como el órgano que vela y da cumplimiento a esa Ley, a las políticas y planes relacionados con la misma; asesora y recomienda a las distintas dependencias o entidades del Estado la aprobación de normas y procedimientos y la realización de acciones en materia de lucha contra la violencia sexual, explotación y trata de personas.</w:t>
      </w:r>
    </w:p>
    <w:p w:rsidR="006B7171" w:rsidRPr="007223FB" w:rsidRDefault="006B7171" w:rsidP="003303E4">
      <w:pPr>
        <w:spacing w:before="120" w:after="120" w:line="240" w:lineRule="auto"/>
        <w:rPr>
          <w:rFonts w:cs="Candara"/>
        </w:rPr>
      </w:pPr>
      <w:r w:rsidRPr="007223FB">
        <w:t>La institución cuenta con un presupuesto vigente de Q 21.00 millones. En lo que respecta a la ejecución cuatrimestral mayo- agosto, se tiene un avance financiero de Q 6.05</w:t>
      </w:r>
      <w:r w:rsidRPr="007223FB">
        <w:rPr>
          <w:bCs/>
        </w:rPr>
        <w:t xml:space="preserve"> millones equivalente a un 28.85%</w:t>
      </w:r>
      <w:r w:rsidR="00AE6762" w:rsidRPr="007223FB">
        <w:rPr>
          <w:bCs/>
        </w:rPr>
        <w:t>, acumulado de 50.92%.</w:t>
      </w:r>
      <w:r w:rsidRPr="007223FB">
        <w:rPr>
          <w:bCs/>
        </w:rPr>
        <w:t xml:space="preserve"> Con respecto a los resultados institucionales, se observó que varios resultados están incluidos en la parte de resultados estratégicos, y que debido al contenido de los mismos, </w:t>
      </w:r>
      <w:r w:rsidR="00311CA9" w:rsidRPr="007223FB">
        <w:rPr>
          <w:bCs/>
        </w:rPr>
        <w:t xml:space="preserve">se catalogan como </w:t>
      </w:r>
      <w:r w:rsidRPr="007223FB">
        <w:rPr>
          <w:bCs/>
        </w:rPr>
        <w:t>institucionales.</w:t>
      </w:r>
    </w:p>
    <w:p w:rsidR="006B7171" w:rsidRPr="007223FB" w:rsidRDefault="006B7171" w:rsidP="003303E4">
      <w:pPr>
        <w:spacing w:before="120" w:after="120" w:line="240" w:lineRule="auto"/>
        <w:rPr>
          <w:bCs/>
        </w:rPr>
      </w:pPr>
      <w:r w:rsidRPr="007223FB">
        <w:rPr>
          <w:bCs/>
        </w:rPr>
        <w:t>De acuerdo con la información analizada, la institución está realizando esfuerzos para alcanzar los resultados propuestos. No obstante, se observó que el producto “Personas víctimas de violencia sexual, explotación y trata de personas atendidas integralmente” es de los más relevantes de su quehacer institucional por lo que se considera que podría fortalecerse.</w:t>
      </w:r>
    </w:p>
    <w:p w:rsidR="000763CD" w:rsidRPr="007223FB" w:rsidRDefault="001617C9" w:rsidP="001617C9">
      <w:pPr>
        <w:pStyle w:val="Ttulo2"/>
        <w:numPr>
          <w:ilvl w:val="0"/>
          <w:numId w:val="0"/>
        </w:numPr>
        <w:spacing w:before="120" w:after="120" w:line="240" w:lineRule="auto"/>
        <w:ind w:left="936" w:hanging="576"/>
        <w:rPr>
          <w:szCs w:val="22"/>
          <w:lang w:val="es-ES"/>
        </w:rPr>
      </w:pPr>
      <w:bookmarkStart w:id="119" w:name="_Toc19527453"/>
      <w:r>
        <w:rPr>
          <w:szCs w:val="22"/>
          <w:lang w:val="es-ES"/>
        </w:rPr>
        <w:t>5.3</w:t>
      </w:r>
      <w:r>
        <w:rPr>
          <w:szCs w:val="22"/>
          <w:lang w:val="es-ES"/>
        </w:rPr>
        <w:tab/>
      </w:r>
      <w:r w:rsidR="002A7644" w:rsidRPr="007223FB">
        <w:rPr>
          <w:szCs w:val="22"/>
          <w:lang w:val="es-ES"/>
        </w:rPr>
        <w:t xml:space="preserve">Entidades </w:t>
      </w:r>
      <w:r w:rsidR="00A77F4A" w:rsidRPr="007223FB">
        <w:rPr>
          <w:szCs w:val="22"/>
          <w:lang w:val="es-ES"/>
        </w:rPr>
        <w:t>Descentralizadas</w:t>
      </w:r>
      <w:bookmarkEnd w:id="119"/>
    </w:p>
    <w:p w:rsidR="00A77F4A"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Aporte par</w:t>
      </w:r>
      <w:r w:rsidR="00D4662E" w:rsidRPr="007223FB">
        <w:rPr>
          <w:b/>
          <w:lang w:val="es-ES" w:eastAsia="es-GT"/>
        </w:rPr>
        <w:t>a la Descentralización Cultural –ADESCA-</w:t>
      </w:r>
      <w:r w:rsidRPr="007223FB">
        <w:rPr>
          <w:b/>
          <w:lang w:val="es-ES" w:eastAsia="es-GT"/>
        </w:rPr>
        <w:t xml:space="preserve"> </w:t>
      </w:r>
    </w:p>
    <w:p w:rsidR="00C56893" w:rsidRPr="007223FB" w:rsidRDefault="00A535D5" w:rsidP="003303E4">
      <w:pPr>
        <w:autoSpaceDE w:val="0"/>
        <w:autoSpaceDN w:val="0"/>
        <w:adjustRightInd w:val="0"/>
        <w:spacing w:before="120" w:after="120" w:line="240" w:lineRule="auto"/>
        <w:rPr>
          <w:rFonts w:cs="Arial"/>
        </w:rPr>
      </w:pPr>
      <w:r w:rsidRPr="007223FB">
        <w:rPr>
          <w:lang w:val="es-MX"/>
        </w:rPr>
        <w:t xml:space="preserve">Conforme al Decreto 95-96 </w:t>
      </w:r>
      <w:r w:rsidRPr="007223FB">
        <w:t xml:space="preserve">Ley de Creación del Aporte para la Descentralización Cultural, ADESCA, a esta entidad le compete desarrollar actividades de apoyo técnico financiero a la creación y difusión artística y cultural por medio de la implementación de las políticas y plan cultural del Estado de Guatemala; la institución ha planteado sus prioridades en el </w:t>
      </w:r>
      <w:r w:rsidRPr="007223FB">
        <w:rPr>
          <w:lang w:val="es-MX"/>
        </w:rPr>
        <w:t>plan estratégico institucional 2018-2022 y el plan operativo anual 2016, orientadas al eje de bienestar para la gente contenido en el Plan Nacional de Desarrollo K’atun, con un resultado institucional “</w:t>
      </w:r>
      <w:r w:rsidRPr="007223FB">
        <w:t>Para el 2023 los proyectos financiados para la promoción reconocimiento y valoración de las expresiones culturales y artísticas en el territorio guatemalteco se mantendrá sobre la base de 125 proyectos 25 anuales</w:t>
      </w:r>
      <w:r w:rsidRPr="007223FB">
        <w:rPr>
          <w:bCs/>
        </w:rPr>
        <w:t>”</w:t>
      </w:r>
      <w:r w:rsidRPr="007223FB">
        <w:t xml:space="preserve">, </w:t>
      </w:r>
      <w:r w:rsidRPr="007223FB">
        <w:rPr>
          <w:lang w:val="es-MX"/>
        </w:rPr>
        <w:t xml:space="preserve">en favor de las personas, organizaciones gubernamentales y no gubernamentales para el desarrollo de las diferentes expresiones artísticas y culturales en once departamentos, con un producto denominado: “Proyectos financiados para la </w:t>
      </w:r>
      <w:r w:rsidRPr="007223FB">
        <w:rPr>
          <w:rFonts w:cs="Arial"/>
        </w:rPr>
        <w:t>promoción reconocimiento y valoración de las expresiones culturales y artísticas en el territorio guatemalteco” y cuatro subproductos, el producto registra 100% de avance físico.</w:t>
      </w:r>
      <w:r w:rsidRPr="007223FB">
        <w:rPr>
          <w:b/>
        </w:rPr>
        <w:t xml:space="preserve"> </w:t>
      </w:r>
      <w:r w:rsidRPr="007223FB">
        <w:rPr>
          <w:lang w:val="es-MX" w:eastAsia="es-GT"/>
        </w:rPr>
        <w:t>E</w:t>
      </w:r>
      <w:r w:rsidRPr="007223FB">
        <w:rPr>
          <w:lang w:eastAsia="es-GT"/>
        </w:rPr>
        <w:t xml:space="preserve">l presupuesto vigente del Adesca es de Q5.00 </w:t>
      </w:r>
      <w:r w:rsidRPr="007223FB">
        <w:rPr>
          <w:bCs/>
        </w:rPr>
        <w:t xml:space="preserve">millones, </w:t>
      </w:r>
      <w:r w:rsidRPr="007223FB">
        <w:t>la ejecución presupuestaria en el segundo cuatrimestre fue de Q3.</w:t>
      </w:r>
      <w:r w:rsidRPr="007223FB">
        <w:rPr>
          <w:rFonts w:cs="Arial"/>
        </w:rPr>
        <w:t xml:space="preserve">38 </w:t>
      </w:r>
      <w:r w:rsidRPr="007223FB">
        <w:rPr>
          <w:rFonts w:eastAsia="Times New Roman"/>
          <w:color w:val="000000"/>
          <w:lang w:eastAsia="es-GT"/>
        </w:rPr>
        <w:t xml:space="preserve">que equivale a 67.54% </w:t>
      </w:r>
      <w:r w:rsidRPr="007223FB">
        <w:t>de su asignación presupuestaria anual, se evidencia una ejecución presupuestaria aceptable para el logro del resultado planteado.</w:t>
      </w:r>
    </w:p>
    <w:p w:rsidR="00921A25" w:rsidRPr="007223FB" w:rsidRDefault="00921A25" w:rsidP="000B07D9">
      <w:pPr>
        <w:pStyle w:val="Prrafodelista"/>
        <w:numPr>
          <w:ilvl w:val="0"/>
          <w:numId w:val="5"/>
        </w:numPr>
        <w:spacing w:before="120" w:after="120" w:line="240" w:lineRule="auto"/>
        <w:contextualSpacing w:val="0"/>
        <w:rPr>
          <w:b/>
          <w:lang w:val="es-ES" w:eastAsia="es-GT"/>
        </w:rPr>
      </w:pPr>
      <w:r w:rsidRPr="007223FB">
        <w:rPr>
          <w:b/>
          <w:lang w:val="es-ES" w:eastAsia="es-GT"/>
        </w:rPr>
        <w:t>El Crédito Hipotecario Nacional (CHN)</w:t>
      </w:r>
    </w:p>
    <w:p w:rsidR="00921A25" w:rsidRPr="007223FB" w:rsidRDefault="00921A25" w:rsidP="003303E4">
      <w:pPr>
        <w:spacing w:before="120" w:after="120" w:line="240" w:lineRule="auto"/>
        <w:rPr>
          <w:rFonts w:eastAsia="Calibri" w:cs="Arial"/>
          <w:color w:val="000000" w:themeColor="text1"/>
          <w:lang w:val="es-MX"/>
        </w:rPr>
      </w:pPr>
      <w:r w:rsidRPr="007223FB">
        <w:rPr>
          <w:rFonts w:eastAsia="Calibri" w:cs="Arial"/>
          <w:color w:val="000000" w:themeColor="text1"/>
          <w:lang w:val="es-MX"/>
        </w:rPr>
        <w:t>El Crédito Hipotecario Nacional de Guatemala (CHN) es una entidad bancaria del Estado, descentralizada y autónoma, con personalidad jurídica, patrimonio propio y capacidad para adquirir derechos y contraer obligaciones, orienta su política de préstamos preferentemente hacia las actividades productivas que tengan afinidad con los programas de desarrollo. Realiza funciones de intermediación financiera, mediante la captación de recursos del público, para invertirlos en operaciones crediticias relacionadas con el incremento y diversificación de la producción del país.</w:t>
      </w:r>
    </w:p>
    <w:p w:rsidR="00921A25" w:rsidRPr="007223FB" w:rsidRDefault="00921A25" w:rsidP="003303E4">
      <w:pPr>
        <w:spacing w:before="120" w:after="120" w:line="240" w:lineRule="auto"/>
        <w:rPr>
          <w:rFonts w:eastAsia="Calibri" w:cs="Arial"/>
          <w:lang w:val="es-MX"/>
        </w:rPr>
      </w:pPr>
      <w:r w:rsidRPr="007223FB">
        <w:rPr>
          <w:rFonts w:eastAsia="Calibri" w:cs="Arial"/>
          <w:color w:val="000000" w:themeColor="text1"/>
          <w:lang w:val="es-MX"/>
        </w:rPr>
        <w:lastRenderedPageBreak/>
        <w:t xml:space="preserve">El Crédito Hipotecario Nacional no posee resultados institucionales basado en un modelo lógico con enfoque de Gestión Por Resultados, sin embargo ha planteado para el período 2019 los siguientes </w:t>
      </w:r>
      <w:r w:rsidRPr="007223FB">
        <w:rPr>
          <w:rFonts w:eastAsia="Calibri" w:cs="Arial"/>
          <w:lang w:val="es-MX"/>
        </w:rPr>
        <w:t>productos:</w:t>
      </w:r>
      <w:r w:rsidRPr="007223FB">
        <w:t xml:space="preserve"> </w:t>
      </w:r>
      <w:r w:rsidRPr="007223FB">
        <w:rPr>
          <w:rFonts w:eastAsia="Calibri" w:cs="Arial"/>
          <w:lang w:val="es-MX"/>
        </w:rPr>
        <w:t>a) Afianzadora, meta vigente de 31,500, acumulado de 26,969, equivalente al 85.62%. b) Almacenadora, meta vigente de 1,784, acumulado de 981, alcanzando el 54.99% de avance;  c) Aseguradora, vigente de 52,702, acumulado de 32,157 que equivale al 61.02%; d) Empresariales, vigente  de  99  personas,  acumulando el 21.21% de ejecución que equivale a 21 personas; e) microcréditos, vigente de 663,  acumulando una ejecución de 675 persona, es decir un 101.81% ; f) Prendarios Monte de Piedad, vigente 7,807 personas, logrando un avance de 24.11% de ejecución; f) Vivienda vigente de 513,  acumulado de 217 personas, que es el equivalente al 42.30%.</w:t>
      </w:r>
    </w:p>
    <w:p w:rsidR="00921A25" w:rsidRPr="007223FB" w:rsidRDefault="00921A25" w:rsidP="003303E4">
      <w:pPr>
        <w:spacing w:before="120" w:after="120" w:line="240" w:lineRule="auto"/>
        <w:rPr>
          <w:rFonts w:eastAsia="Calibri" w:cs="Arial"/>
          <w:color w:val="000000" w:themeColor="text1"/>
          <w:lang w:val="es-MX"/>
        </w:rPr>
      </w:pPr>
      <w:r w:rsidRPr="007223FB">
        <w:rPr>
          <w:rFonts w:eastAsia="Calibri" w:cs="Arial"/>
          <w:lang w:val="es-MX"/>
        </w:rPr>
        <w:t xml:space="preserve">El presupuesto del Crédito Hipotecario Nacional de Guatemala está en función de los ingresos que generan mediante los productos que la entidad proporciona a sus clientes. Para el segundo </w:t>
      </w:r>
      <w:r w:rsidRPr="007223FB">
        <w:rPr>
          <w:rFonts w:eastAsia="Calibri" w:cs="Arial"/>
          <w:color w:val="000000" w:themeColor="text1"/>
          <w:lang w:val="es-MX"/>
        </w:rPr>
        <w:t>cuatrimestre del año 2019, el CHN presenta un presupuesto inicial de Q. 543.00 millones, vigente por la misma cantidad, sin  embargo no reportan en Sicoin avance financiero cuatrimestral</w:t>
      </w:r>
    </w:p>
    <w:p w:rsidR="00A535D5"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Consejo Nacional para la Protección de La Antigua Guatemala</w:t>
      </w:r>
    </w:p>
    <w:p w:rsidR="00A535D5" w:rsidRPr="007223FB" w:rsidRDefault="00A535D5" w:rsidP="003303E4">
      <w:pPr>
        <w:spacing w:before="120" w:after="120" w:line="240" w:lineRule="auto"/>
        <w:rPr>
          <w:lang w:val="es-ES" w:eastAsia="es-GT"/>
        </w:rPr>
      </w:pPr>
      <w:r w:rsidRPr="007223FB">
        <w:rPr>
          <w:lang w:val="es-MX"/>
        </w:rPr>
        <w:t>El Consejo Nacional para la Protección de la Antigua Guatemala, según el Decreto 60-69, “Ley Protectora de la Ciudad de la Antigua Guatemala”, es el responsable del cuidado, protección, restauración y conservación de los bienes muebles e inmuebles nacionales, municipales o de particulares situados en aquella ciudad y áreas circundantes. Su accionar gira alrededor</w:t>
      </w:r>
      <w:r w:rsidRPr="007223FB">
        <w:t xml:space="preserve"> </w:t>
      </w:r>
      <w:r w:rsidRPr="007223FB">
        <w:rPr>
          <w:lang w:val="es-MX"/>
        </w:rPr>
        <w:t>de las políticas culturales nacionales del Ministerio de Cultura como ente rector sectorial, está encaminado</w:t>
      </w:r>
      <w:r w:rsidRPr="007223FB">
        <w:t xml:space="preserve"> a las prioridades contenidas en el Plan Nacional de Desarrollo K’atun, específicamente en el Eje  Bienestar para la Gente con la prioridad: “Promover la cultura como elemento fundamental para la revitalización del tejido social”, contribuye a la prioridad del gobierno relacionada al </w:t>
      </w:r>
      <w:r w:rsidRPr="007223FB">
        <w:rPr>
          <w:rFonts w:eastAsia="Times New Roman"/>
          <w:bCs/>
          <w:lang w:eastAsia="es-GT"/>
        </w:rPr>
        <w:t>Fomento de las Mipymes, turismo construcción de vivienda,</w:t>
      </w:r>
      <w:r w:rsidRPr="007223FB">
        <w:t xml:space="preserve"> construcción de la identidad nacional </w:t>
      </w:r>
      <w:r w:rsidRPr="007223FB">
        <w:rPr>
          <w:lang w:val="es-MX"/>
        </w:rPr>
        <w:t>mediante sus políticas y estrategias institucionales y del programa presupuestario de restauración y control de los bienes materiales e inmateriales que incluye el programa estratégico de educación patrimonial y divulgación cultural para atender a la población de la Ciudad de la Antigua Guatemala, Ciudad Vieja, Pastores y Jocotenango, ha planteado el resultado institucional “. En función del PEI 2019-2025 se elaboró el POA 2019, el cual  ha planteado el resultado institucional: “</w:t>
      </w:r>
      <w:r w:rsidRPr="007223FB">
        <w:rPr>
          <w:rFonts w:cs="Courier"/>
          <w:bCs/>
        </w:rPr>
        <w:t xml:space="preserve">Durante el periodo 2019 2025 se ha logrado mantener en un 90% la conservación del Patrimonio Cultural y Natural en la ciudad de La Antigua Guatemala áreas circundantes y zona de influencia”, </w:t>
      </w:r>
      <w:r w:rsidRPr="007223FB">
        <w:rPr>
          <w:lang w:val="es-MX"/>
        </w:rPr>
        <w:t>para ello ha reportado cinco productos, de los cuales dos productos que alcanzan mayor porcentaje de avance físico siendo: “</w:t>
      </w:r>
      <w:r w:rsidRPr="007223FB">
        <w:rPr>
          <w:rFonts w:cs="Arial"/>
        </w:rPr>
        <w:t>Conservación de monumentos en Antigua Guatemala”</w:t>
      </w:r>
      <w:r w:rsidRPr="007223FB">
        <w:rPr>
          <w:lang w:val="es-MX"/>
        </w:rPr>
        <w:t xml:space="preserve"> con 100% y “</w:t>
      </w:r>
      <w:r w:rsidRPr="007223FB">
        <w:rPr>
          <w:rFonts w:cs="Arial"/>
        </w:rPr>
        <w:t>Monumentos de la Antigua Guatemala con servicios de restauración”, con 64.97%. Por otro lado el producto: “Licencias de regulación urbana y de rótulo otorgadas a personas jurídicas y/o individuales”, apenas alcanza el 34% de avance.</w:t>
      </w:r>
      <w:r w:rsidRPr="007223FB">
        <w:rPr>
          <w:lang w:val="es-MX"/>
        </w:rPr>
        <w:t xml:space="preserve"> El Consejo tiene un </w:t>
      </w:r>
      <w:r w:rsidRPr="007223FB">
        <w:rPr>
          <w:lang w:eastAsia="es-GT"/>
        </w:rPr>
        <w:t>presupuesto vigente de Q</w:t>
      </w:r>
      <w:r w:rsidRPr="007223FB">
        <w:t>12.20</w:t>
      </w:r>
      <w:r w:rsidRPr="007223FB">
        <w:rPr>
          <w:rFonts w:cs="Arial"/>
        </w:rPr>
        <w:t xml:space="preserve"> </w:t>
      </w:r>
      <w:r w:rsidRPr="007223FB">
        <w:rPr>
          <w:bCs/>
        </w:rPr>
        <w:t xml:space="preserve">millones, </w:t>
      </w:r>
      <w:r w:rsidRPr="007223FB">
        <w:t>la  e</w:t>
      </w:r>
      <w:r w:rsidR="00195D4A" w:rsidRPr="007223FB">
        <w:t xml:space="preserve">jecución financiera en el segundo </w:t>
      </w:r>
      <w:r w:rsidRPr="007223FB">
        <w:t>cuatrimestre asciende a Q6.23 millones el 51.06 % de su presupuesto anual, para el logro del resultado se sugiere mejorar e incrementar avances físicos y financieros en el próximo cuatrimestre.</w:t>
      </w:r>
    </w:p>
    <w:p w:rsidR="002A7644" w:rsidRPr="007223FB" w:rsidRDefault="002A7644" w:rsidP="000B07D9">
      <w:pPr>
        <w:pStyle w:val="Prrafodelista"/>
        <w:numPr>
          <w:ilvl w:val="0"/>
          <w:numId w:val="5"/>
        </w:numPr>
        <w:spacing w:before="120" w:after="120" w:line="240" w:lineRule="auto"/>
        <w:contextualSpacing w:val="0"/>
        <w:rPr>
          <w:rFonts w:cs="Candara"/>
        </w:rPr>
      </w:pPr>
      <w:r w:rsidRPr="007223FB">
        <w:rPr>
          <w:b/>
          <w:lang w:val="es-ES" w:eastAsia="es-GT"/>
        </w:rPr>
        <w:t>Co</w:t>
      </w:r>
      <w:r w:rsidR="00D4662E" w:rsidRPr="007223FB">
        <w:rPr>
          <w:b/>
          <w:lang w:val="es-ES" w:eastAsia="es-GT"/>
        </w:rPr>
        <w:t>mité Nacional de Alfabetización –Conalfa-</w:t>
      </w:r>
      <w:r w:rsidRPr="007223FB">
        <w:rPr>
          <w:rFonts w:cs="Candara"/>
        </w:rPr>
        <w:t xml:space="preserve"> </w:t>
      </w:r>
    </w:p>
    <w:p w:rsidR="003A18DA" w:rsidRPr="007223FB" w:rsidRDefault="003A18DA" w:rsidP="003303E4">
      <w:pPr>
        <w:autoSpaceDE w:val="0"/>
        <w:autoSpaceDN w:val="0"/>
        <w:adjustRightInd w:val="0"/>
        <w:spacing w:before="120" w:after="120" w:line="240" w:lineRule="auto"/>
        <w:rPr>
          <w:rFonts w:cs="Candara"/>
        </w:rPr>
      </w:pPr>
      <w:r w:rsidRPr="007223FB">
        <w:rPr>
          <w:rFonts w:cs="Candara"/>
        </w:rPr>
        <w:t xml:space="preserve">El Comité Nacional de Alfabetización (Conalfa) es el órgano superior encargado de definir y aprobar las políticas y las estrategias del proceso Nacional de Alfabetización y promover la alfabetización. El Comité tiene como objetivo la promoción de los medios adecuados para que la población joven y adulta de 15 años y más, que no sabe leer y escribir acceda a la cultura escrita. Conalfa define el Resultado Institucional “Brindar atención a 100,893 personas analfabetas y 108,391 neoalfabetas mediante el programa de alfabetización y lograr como mínimo la reducción del 1% del índice de analfabetismo”; para lograr este resultado considera hacerlo con cuatro productos: 1) “Dirección y </w:t>
      </w:r>
      <w:r w:rsidRPr="007223FB">
        <w:rPr>
          <w:rFonts w:cs="Candara"/>
        </w:rPr>
        <w:lastRenderedPageBreak/>
        <w:t xml:space="preserve">coordinación con una ejecución en el segundo cuatrimestre de 2 documentos que es el equivalente al 66.67% de avance, de igual manera el producto 2) “Servicios administrativos y financieros”, los productos que realmente contribuyen al resultado son el 3 y 4; el 3) “Personas de 15 años en adelante atendidas en idioma español” con una meta inicial de 128,659, de lo cual ejecutó en el segundo cuatrimestre un 4.95% que corresponde a 6,368 personas, logrando un 78.60% de avance, y finalmente el 4) Personas de 15 años en adelante atendidas en idioma maya, garífuna y xinca con una meta inicial de 80,625, una ejecución en el segundo cuatrimestre de 491 es decir el 0.61% y un avance acumulado del 56.94%. Todas las metas se mantuvieron vigentes en el segundo cuatrimestre del 2019. Para el ejercicio 2019, Conalfa cuenta con un presupuesto vigente de Q 273.40 millones sin haber presenciado ninguna modificación con respecto al asignado; al finalizar del segundo cuatrimestre ha ejecutado Q 118.62 millones que equivale a un 43.39%. </w:t>
      </w:r>
    </w:p>
    <w:p w:rsidR="00921A25" w:rsidRPr="007223FB" w:rsidRDefault="00921A25" w:rsidP="000B07D9">
      <w:pPr>
        <w:pStyle w:val="Prrafodelista"/>
        <w:numPr>
          <w:ilvl w:val="0"/>
          <w:numId w:val="5"/>
        </w:numPr>
        <w:spacing w:before="120" w:after="120" w:line="240" w:lineRule="auto"/>
        <w:contextualSpacing w:val="0"/>
        <w:rPr>
          <w:rFonts w:eastAsiaTheme="majorEastAsia" w:cstheme="majorBidi"/>
          <w:b/>
          <w:iCs/>
        </w:rPr>
      </w:pPr>
      <w:r w:rsidRPr="007223FB">
        <w:rPr>
          <w:rFonts w:eastAsiaTheme="majorEastAsia" w:cstheme="majorBidi"/>
          <w:b/>
          <w:iCs/>
        </w:rPr>
        <w:t>Com</w:t>
      </w:r>
      <w:r w:rsidR="00D4662E" w:rsidRPr="007223FB">
        <w:rPr>
          <w:rFonts w:eastAsiaTheme="majorEastAsia" w:cstheme="majorBidi"/>
          <w:b/>
          <w:iCs/>
        </w:rPr>
        <w:t xml:space="preserve">ité Permanente de Exposiciones –Coperex- </w:t>
      </w:r>
    </w:p>
    <w:p w:rsidR="00921A25" w:rsidRPr="007223FB" w:rsidRDefault="00921A25" w:rsidP="001617C9">
      <w:pPr>
        <w:spacing w:before="120" w:after="120" w:line="240" w:lineRule="auto"/>
        <w:rPr>
          <w:rFonts w:eastAsiaTheme="majorEastAsia" w:cstheme="majorBidi"/>
          <w:b/>
          <w:iCs/>
          <w:color w:val="000000" w:themeColor="text1"/>
        </w:rPr>
      </w:pPr>
      <w:r w:rsidRPr="007223FB">
        <w:rPr>
          <w:rFonts w:eastAsia="Calibri" w:cs="Arial"/>
        </w:rPr>
        <w:t>E</w:t>
      </w:r>
      <w:r w:rsidRPr="007223FB">
        <w:rPr>
          <w:rFonts w:eastAsia="Calibri" w:cs="Arial"/>
          <w:lang w:val="es-MX"/>
        </w:rPr>
        <w:t xml:space="preserve">l Comité Permanente </w:t>
      </w:r>
      <w:r w:rsidRPr="007223FB">
        <w:rPr>
          <w:rFonts w:eastAsia="Calibri" w:cs="Arial"/>
          <w:color w:val="000000" w:themeColor="text1"/>
          <w:lang w:val="es-MX"/>
        </w:rPr>
        <w:t>de Exposiciones (Coperex) es una entidad descentralizada, posee la responsabilidad para la realización de ferias y exposiciones nacionales e internacionales de diversos productos que estimulen y desarrollen su comercialización, mercadeo, producción y promoción. El objeto fundamental de Coperex según Decreto Legislativo 67–73 del Congreso de la República: A) La realización de ferias y exposiciones nacionales e internacionales de productos industriales, artesanales, agropecuarios o de otra naturaleza que estimulen y desarrollen su comercialización, mercadeo, producción y promoción. B) El intercambio técnico promocional en el campo industrial y comercial con otros países en beneficio de la economía nacional y el crédito del mercado guatemalteco. C) La promoción de ferias, exposiciones o cualquier otro evento, de acuerdo con las funciones que le asigna la presente ley. D) Las demás que a juicio de su Junta Directiva sean convenientes para el país. E) La administración de los bienes que forman parte de su patrimonio.</w:t>
      </w:r>
    </w:p>
    <w:p w:rsidR="00921A25" w:rsidRPr="007223FB" w:rsidRDefault="00921A25" w:rsidP="001617C9">
      <w:pPr>
        <w:spacing w:before="120" w:after="120" w:line="240" w:lineRule="auto"/>
        <w:rPr>
          <w:rFonts w:eastAsia="Calibri" w:cs="Arial"/>
          <w:color w:val="000000" w:themeColor="text1"/>
          <w:lang w:val="es-MX"/>
        </w:rPr>
      </w:pPr>
      <w:r w:rsidRPr="007223FB">
        <w:rPr>
          <w:rFonts w:eastAsia="Calibri" w:cs="Arial"/>
          <w:color w:val="000000" w:themeColor="text1"/>
          <w:lang w:val="es-MX"/>
        </w:rPr>
        <w:t xml:space="preserve">Coperex ha definido el resultado institucional: “Para el 2023 se ha incrementado en 50 porciento los eventos y ferias nacionales e internacionales de producción industrial artesanal y agropecuaria de 10 porciento e 2019 a 50 por ciento en 2023”. Para alcanzar el resultado institucional se plantea un producto: “Promoción  de  ferias  y  exposiciones  nacionales  e  internacionales  de  la  producción  industrial artesanal y agropecuaria del país” y para el segundo  cuatrimestre 2019 inicio con una meta de 265 eventos promocionales a realizarse, la cual no sufrió cambios y se mantuvo vigente, logrando un avance físico dentro del cuatrimestre y acumulado de 75 y 28.30% de ejecución.    </w:t>
      </w:r>
    </w:p>
    <w:p w:rsidR="00921A25" w:rsidRPr="007223FB" w:rsidRDefault="00921A25" w:rsidP="001617C9">
      <w:pPr>
        <w:spacing w:before="120" w:after="120" w:line="240" w:lineRule="auto"/>
        <w:rPr>
          <w:rFonts w:eastAsia="Calibri" w:cs="Arial"/>
          <w:lang w:val="es-MX"/>
        </w:rPr>
      </w:pPr>
      <w:r w:rsidRPr="007223FB">
        <w:rPr>
          <w:rFonts w:eastAsia="Calibri" w:cs="Arial"/>
          <w:lang w:val="es-MX"/>
        </w:rPr>
        <w:t xml:space="preserve">Respecto a lo financiero, refleja un presupuesto inicial de Q. 80.50 millones, manteniéndose vigente, ejecución de Q. 5.47 millones, acumulado de Q 9.61 millones, que refleja el 11.94% de avance. </w:t>
      </w:r>
    </w:p>
    <w:p w:rsidR="00D4662E" w:rsidRPr="007223FB" w:rsidRDefault="00D4662E" w:rsidP="000B07D9">
      <w:pPr>
        <w:pStyle w:val="Prrafodelista"/>
        <w:numPr>
          <w:ilvl w:val="0"/>
          <w:numId w:val="5"/>
        </w:numPr>
        <w:spacing w:before="120" w:after="120" w:line="240" w:lineRule="auto"/>
        <w:contextualSpacing w:val="0"/>
        <w:rPr>
          <w:bCs/>
          <w:color w:val="000000" w:themeColor="text1"/>
        </w:rPr>
      </w:pPr>
      <w:r w:rsidRPr="007223FB">
        <w:rPr>
          <w:b/>
          <w:color w:val="000000" w:themeColor="text1"/>
        </w:rPr>
        <w:t>Empresa Guatemalteca de Telecomunicaciones –GUATEL-</w:t>
      </w:r>
    </w:p>
    <w:p w:rsidR="00857BB8" w:rsidRPr="007223FB" w:rsidRDefault="00857BB8" w:rsidP="001617C9">
      <w:pPr>
        <w:spacing w:before="120" w:after="120" w:line="240" w:lineRule="auto"/>
        <w:rPr>
          <w:rFonts w:cs="Candara"/>
        </w:rPr>
      </w:pPr>
      <w:r w:rsidRPr="007223FB">
        <w:rPr>
          <w:bCs/>
          <w:color w:val="000000" w:themeColor="text1"/>
        </w:rPr>
        <w:t>La</w:t>
      </w:r>
      <w:r w:rsidRPr="007223FB">
        <w:rPr>
          <w:b/>
          <w:color w:val="000000" w:themeColor="text1"/>
        </w:rPr>
        <w:t xml:space="preserve"> </w:t>
      </w:r>
      <w:r w:rsidRPr="007223FB">
        <w:rPr>
          <w:color w:val="000000" w:themeColor="text1"/>
        </w:rPr>
        <w:t xml:space="preserve">Empresa Guatemalteca de Telecomunicaciones –GUATEL- tiene como exclusividad la prestación de servicio público de telecomunicaciones, a toda persona jurídica e individual en áreas urbanas y rurales del país, es de carácter estatal descentraliza y autónoma, de acuerdo a su Ley Orgánica. </w:t>
      </w:r>
      <w:r w:rsidRPr="007223FB">
        <w:rPr>
          <w:rFonts w:cstheme="minorHAnsi"/>
          <w:color w:val="000000" w:themeColor="text1"/>
        </w:rPr>
        <w:t>Al 03 de septiembre del ejercicio fiscal 2019, registró en SIPLAN dos productos</w:t>
      </w:r>
      <w:r w:rsidRPr="007223FB">
        <w:rPr>
          <w:rFonts w:cs="Courier"/>
          <w:bCs/>
        </w:rPr>
        <w:t xml:space="preserve">: 1. </w:t>
      </w:r>
      <w:r w:rsidRPr="007223FB">
        <w:rPr>
          <w:rFonts w:cs="Arial"/>
        </w:rPr>
        <w:t>Servicio de acceso a internet entregado a entidades del Estado, con una meta vigente de 20,120 registros</w:t>
      </w:r>
      <w:r w:rsidRPr="007223FB">
        <w:rPr>
          <w:rFonts w:cs="Courier"/>
          <w:bCs/>
        </w:rPr>
        <w:t xml:space="preserve">, con un avance de ejecución de 32.89% </w:t>
      </w:r>
      <w:r w:rsidRPr="007223FB">
        <w:rPr>
          <w:rFonts w:cs="Courier"/>
          <w:bCs/>
          <w:color w:val="000000" w:themeColor="text1"/>
        </w:rPr>
        <w:t>y un avance de ejecución acumulado (enero-agosto) de 61.69</w:t>
      </w:r>
      <w:r w:rsidRPr="007223FB">
        <w:rPr>
          <w:rFonts w:cs="Courier"/>
          <w:bCs/>
        </w:rPr>
        <w:t xml:space="preserve">%. </w:t>
      </w:r>
      <w:r w:rsidRPr="007223FB">
        <w:rPr>
          <w:rFonts w:cs="Arial"/>
        </w:rPr>
        <w:t>2</w:t>
      </w:r>
      <w:r w:rsidRPr="007223FB">
        <w:rPr>
          <w:rFonts w:cs="Courier"/>
          <w:bCs/>
        </w:rPr>
        <w:t xml:space="preserve">. </w:t>
      </w:r>
      <w:r w:rsidRPr="007223FB">
        <w:rPr>
          <w:rFonts w:cs="Arial"/>
        </w:rPr>
        <w:t>Servicios de enlaces de datos,</w:t>
      </w:r>
      <w:r w:rsidRPr="007223FB">
        <w:rPr>
          <w:rFonts w:cs="Courier"/>
          <w:bCs/>
        </w:rPr>
        <w:t xml:space="preserve"> con una meta vigente de 5,990 registros, con un avance de ejecución de 33.26% y un avance de ejecución acumulado (enero-agosto) de 70.82%. </w:t>
      </w:r>
      <w:r w:rsidRPr="007223FB">
        <w:rPr>
          <w:rFonts w:cstheme="minorHAnsi"/>
        </w:rPr>
        <w:t xml:space="preserve">Al 05 de septiembre del ejercicio fiscal 2019, SICOIN registra un presupuesto inicial de </w:t>
      </w:r>
      <w:r w:rsidRPr="007223FB">
        <w:rPr>
          <w:rFonts w:cstheme="minorHAnsi"/>
          <w:color w:val="000000" w:themeColor="text1"/>
        </w:rPr>
        <w:t>Q</w:t>
      </w:r>
      <w:r w:rsidRPr="007223FB">
        <w:rPr>
          <w:rFonts w:cs="Arial-Bold"/>
          <w:bCs/>
        </w:rPr>
        <w:t xml:space="preserve"> 10.88 </w:t>
      </w:r>
      <w:r w:rsidRPr="007223FB">
        <w:rPr>
          <w:rFonts w:cstheme="minorHAnsi"/>
        </w:rPr>
        <w:t>millones, sin modificaciones, con una ejecución de Q 6.21</w:t>
      </w:r>
      <w:r w:rsidRPr="007223FB">
        <w:rPr>
          <w:rFonts w:cs="Arial-Bold"/>
          <w:bCs/>
        </w:rPr>
        <w:t xml:space="preserve"> </w:t>
      </w:r>
      <w:r w:rsidRPr="007223FB">
        <w:rPr>
          <w:rFonts w:cstheme="minorHAnsi"/>
        </w:rPr>
        <w:t xml:space="preserve">millones que equivalen a un 57.12%, el cual </w:t>
      </w:r>
      <w:r w:rsidR="00722524" w:rsidRPr="007223FB">
        <w:rPr>
          <w:rFonts w:cstheme="minorHAnsi"/>
        </w:rPr>
        <w:t>supera el</w:t>
      </w:r>
      <w:r w:rsidRPr="007223FB">
        <w:rPr>
          <w:rFonts w:cstheme="minorHAnsi"/>
        </w:rPr>
        <w:t xml:space="preserve"> 50% de ejecución. </w:t>
      </w:r>
      <w:r w:rsidRPr="007223FB">
        <w:rPr>
          <w:rFonts w:cs="Candara"/>
          <w:color w:val="000000" w:themeColor="text1"/>
        </w:rPr>
        <w:t>En el acumulado (enero-agosto) ha ejecutado Q</w:t>
      </w:r>
      <w:r w:rsidRPr="007223FB">
        <w:rPr>
          <w:rFonts w:cs="Arial-Bold"/>
          <w:bCs/>
        </w:rPr>
        <w:t xml:space="preserve"> 8.13 </w:t>
      </w:r>
      <w:r w:rsidRPr="007223FB">
        <w:rPr>
          <w:rFonts w:cs="Candara"/>
          <w:color w:val="000000" w:themeColor="text1"/>
        </w:rPr>
        <w:t xml:space="preserve">millones equivalente a un 74.75%, es de hacer </w:t>
      </w:r>
      <w:r w:rsidRPr="007223FB">
        <w:rPr>
          <w:rFonts w:cs="Candara"/>
          <w:color w:val="000000" w:themeColor="text1"/>
        </w:rPr>
        <w:lastRenderedPageBreak/>
        <w:t xml:space="preserve">notar que, de las instituciones que tienen como objetivo dotar de infraestructura productiva, es el más alto porcentaje de ejecución. </w:t>
      </w:r>
    </w:p>
    <w:p w:rsidR="00D4662E" w:rsidRPr="007223FB" w:rsidRDefault="00D4662E" w:rsidP="000B07D9">
      <w:pPr>
        <w:pStyle w:val="Prrafodelista"/>
        <w:numPr>
          <w:ilvl w:val="0"/>
          <w:numId w:val="5"/>
        </w:numPr>
        <w:spacing w:before="120" w:after="120" w:line="240" w:lineRule="auto"/>
        <w:contextualSpacing w:val="0"/>
        <w:rPr>
          <w:bCs/>
          <w:color w:val="000000" w:themeColor="text1"/>
        </w:rPr>
      </w:pPr>
      <w:r w:rsidRPr="007223FB">
        <w:rPr>
          <w:b/>
          <w:color w:val="000000" w:themeColor="text1"/>
        </w:rPr>
        <w:t xml:space="preserve">Empresa Portuaria Nacional Santo Tomas de Castilla –EMPORNAC- </w:t>
      </w:r>
    </w:p>
    <w:p w:rsidR="00857BB8" w:rsidRPr="007223FB" w:rsidRDefault="00857BB8" w:rsidP="001617C9">
      <w:pPr>
        <w:spacing w:before="120" w:after="120" w:line="240" w:lineRule="auto"/>
        <w:rPr>
          <w:rFonts w:cs="Candara"/>
          <w:color w:val="000000" w:themeColor="text1"/>
        </w:rPr>
      </w:pPr>
      <w:r w:rsidRPr="007223FB">
        <w:rPr>
          <w:bCs/>
          <w:color w:val="000000" w:themeColor="text1"/>
        </w:rPr>
        <w:t>La</w:t>
      </w:r>
      <w:r w:rsidRPr="007223FB">
        <w:rPr>
          <w:color w:val="000000" w:themeColor="text1"/>
        </w:rPr>
        <w:t xml:space="preserve"> Empresa Portuaria</w:t>
      </w:r>
      <w:r w:rsidR="00722524" w:rsidRPr="007223FB">
        <w:rPr>
          <w:color w:val="000000" w:themeColor="text1"/>
        </w:rPr>
        <w:t xml:space="preserve"> Nacional</w:t>
      </w:r>
      <w:r w:rsidRPr="007223FB">
        <w:rPr>
          <w:color w:val="000000" w:themeColor="text1"/>
        </w:rPr>
        <w:t xml:space="preserve"> Santo Tomas de Castilla –EMPORNAC- </w:t>
      </w:r>
      <w:r w:rsidRPr="007223FB">
        <w:rPr>
          <w:rFonts w:cs="Candara"/>
          <w:color w:val="000000" w:themeColor="text1"/>
        </w:rPr>
        <w:t xml:space="preserve">es una </w:t>
      </w:r>
      <w:r w:rsidRPr="007223FB">
        <w:rPr>
          <w:rFonts w:cs="Times-Roman"/>
          <w:color w:val="000000" w:themeColor="text1"/>
        </w:rPr>
        <w:t>entidad estatal, según su Ley Orgánica, es descentralizada y autónoma,</w:t>
      </w:r>
      <w:r w:rsidRPr="007223FB">
        <w:rPr>
          <w:rFonts w:cstheme="minorHAnsi"/>
          <w:color w:val="000000" w:themeColor="text1"/>
        </w:rPr>
        <w:t xml:space="preserve"> </w:t>
      </w:r>
      <w:r w:rsidRPr="007223FB">
        <w:rPr>
          <w:color w:val="000000" w:themeColor="text1"/>
        </w:rPr>
        <w:t>su finalidad es a</w:t>
      </w:r>
      <w:r w:rsidRPr="007223FB">
        <w:rPr>
          <w:rFonts w:cs="Helvetica"/>
          <w:color w:val="000000" w:themeColor="text1"/>
        </w:rPr>
        <w:t>dministrar y proporcionar servicios de embarque y desembarque de pasajeros, carga, descarga y transferencia de mercancías y servicios conexos.</w:t>
      </w:r>
      <w:r w:rsidRPr="007223FB">
        <w:rPr>
          <w:rFonts w:cs="Candara"/>
        </w:rPr>
        <w:t xml:space="preserve"> Como parte importante de la cadena logística de trasporte marítimo, su papel estratégico en la costa Atlántica de Guatemala es relevante; en la economía nacional determina la variable de incremento o decremento de la prestación de servicios portuarios, la institución define la relación de capacidad instalada con servicios prestados. </w:t>
      </w:r>
      <w:r w:rsidRPr="007223FB">
        <w:rPr>
          <w:rFonts w:cstheme="minorHAnsi"/>
        </w:rPr>
        <w:t xml:space="preserve">Al 5 de septiembre del ejercicio fiscal 2019, según SICOIN registra un presupuesto inicial de </w:t>
      </w:r>
      <w:r w:rsidRPr="007223FB">
        <w:rPr>
          <w:rFonts w:cstheme="minorHAnsi"/>
          <w:color w:val="000000" w:themeColor="text1"/>
        </w:rPr>
        <w:t>Q</w:t>
      </w:r>
      <w:r w:rsidRPr="007223FB">
        <w:rPr>
          <w:rFonts w:cs="Arial-Bold"/>
          <w:b/>
          <w:bCs/>
        </w:rPr>
        <w:t xml:space="preserve"> </w:t>
      </w:r>
      <w:r w:rsidRPr="007223FB">
        <w:rPr>
          <w:rFonts w:cs="Arial-Bold"/>
          <w:bCs/>
        </w:rPr>
        <w:t>1,188.94</w:t>
      </w:r>
      <w:r w:rsidRPr="007223FB">
        <w:rPr>
          <w:rFonts w:cs="Arial-Bold"/>
          <w:b/>
          <w:bCs/>
        </w:rPr>
        <w:t xml:space="preserve"> </w:t>
      </w:r>
      <w:r w:rsidRPr="007223FB">
        <w:rPr>
          <w:rFonts w:cstheme="minorHAnsi"/>
        </w:rPr>
        <w:t>millones, sin modificaciones, con una ejecución de Q</w:t>
      </w:r>
      <w:r w:rsidRPr="007223FB">
        <w:rPr>
          <w:rFonts w:cs="Arial-Bold"/>
          <w:bCs/>
        </w:rPr>
        <w:t xml:space="preserve"> 267.62</w:t>
      </w:r>
      <w:r w:rsidRPr="007223FB">
        <w:rPr>
          <w:rFonts w:cstheme="minorHAnsi"/>
        </w:rPr>
        <w:t xml:space="preserve"> millones que equivalen a 22.51%. Al ser comparado con el primer cuatrimestre ha superado el 20% ejecución.  </w:t>
      </w:r>
      <w:r w:rsidRPr="007223FB">
        <w:rPr>
          <w:rFonts w:cs="Candara"/>
          <w:color w:val="000000" w:themeColor="text1"/>
        </w:rPr>
        <w:t>En el acumulado (enero-agosto) ha ejecutado Q</w:t>
      </w:r>
      <w:r w:rsidRPr="007223FB">
        <w:rPr>
          <w:rFonts w:cs="Arial-Bold"/>
          <w:bCs/>
        </w:rPr>
        <w:t xml:space="preserve"> 456.72 </w:t>
      </w:r>
      <w:r w:rsidRPr="007223FB">
        <w:rPr>
          <w:rFonts w:cs="Candara"/>
          <w:color w:val="000000" w:themeColor="text1"/>
        </w:rPr>
        <w:t>millones equivalente a un 38.41%, es de resaltar que su ejecución no supera el 50% de ejecución.</w:t>
      </w:r>
    </w:p>
    <w:p w:rsidR="00D4662E" w:rsidRPr="007223FB" w:rsidRDefault="00D4662E" w:rsidP="000B07D9">
      <w:pPr>
        <w:pStyle w:val="Prrafodelista"/>
        <w:numPr>
          <w:ilvl w:val="0"/>
          <w:numId w:val="5"/>
        </w:numPr>
        <w:spacing w:before="120" w:after="120" w:line="240" w:lineRule="auto"/>
        <w:contextualSpacing w:val="0"/>
        <w:rPr>
          <w:rFonts w:cs="Candara"/>
        </w:rPr>
      </w:pPr>
      <w:r w:rsidRPr="007223FB">
        <w:rPr>
          <w:b/>
        </w:rPr>
        <w:t>Empresa Portuaria Nacional de Champerico –EPNCH-</w:t>
      </w:r>
    </w:p>
    <w:p w:rsidR="00857BB8" w:rsidRPr="007223FB" w:rsidRDefault="00857BB8" w:rsidP="001617C9">
      <w:pPr>
        <w:spacing w:before="120" w:after="120" w:line="240" w:lineRule="auto"/>
        <w:rPr>
          <w:rFonts w:cs="Candara"/>
          <w:color w:val="000000" w:themeColor="text1"/>
        </w:rPr>
      </w:pPr>
      <w:r w:rsidRPr="007223FB">
        <w:rPr>
          <w:bCs/>
        </w:rPr>
        <w:t>La</w:t>
      </w:r>
      <w:r w:rsidRPr="007223FB">
        <w:t xml:space="preserve"> Empresa Portuaria Nacional de Champerico –EPNCH-, según su Ley Orgánica, e</w:t>
      </w:r>
      <w:r w:rsidRPr="007223FB">
        <w:rPr>
          <w:rFonts w:cstheme="minorHAnsi"/>
        </w:rPr>
        <w:t xml:space="preserve">s una entidad autónoma, localizada en la costa Sur Occidente de Guatemala; fue declarada Puerto Pesquero Champerico con el Decreto 45-2006, esto permite el desarrollo pesquero: artesanal, semi-industrial y turístico de la región, así como, contribuye a la economía local a través, de la prestación de servicios portuarios de pesca artesanal. Al 03 de septiembre del ejercicio fiscal 2019, registró en SIPLAN un Resultado Institucional: a) </w:t>
      </w:r>
      <w:r w:rsidRPr="007223FB">
        <w:rPr>
          <w:rFonts w:cs="Courier"/>
          <w:bCs/>
        </w:rPr>
        <w:t xml:space="preserve">Para el año 2019 se ha incrementado el 5% de operatividad en la prestación de servicios portuarios a lanchas de pesca artesanal, con un producto: </w:t>
      </w:r>
      <w:r w:rsidRPr="007223FB">
        <w:rPr>
          <w:rFonts w:cstheme="minorHAnsi"/>
        </w:rPr>
        <w:t xml:space="preserve">1. Lanchas atendidas con servicios de descarga de productos marítimos, con una meta vigente de 2,400 lanchas, con un avance de ejecución de 18.63% y un acumulado de 56.42% del período correspondiente a los meses de enero a agosto. Al 05 de septiembre del ejercicio fiscal 2019, con base a información obtenida de SICOIN, se registra un presupuesto inicial de </w:t>
      </w:r>
      <w:r w:rsidRPr="007223FB">
        <w:rPr>
          <w:rFonts w:cstheme="minorHAnsi"/>
          <w:color w:val="000000" w:themeColor="text1"/>
        </w:rPr>
        <w:t>Q</w:t>
      </w:r>
      <w:r w:rsidRPr="007223FB">
        <w:rPr>
          <w:rFonts w:cs="Arial-Bold"/>
          <w:bCs/>
        </w:rPr>
        <w:t xml:space="preserve"> 5.52 </w:t>
      </w:r>
      <w:r w:rsidRPr="007223FB">
        <w:rPr>
          <w:rFonts w:cstheme="minorHAnsi"/>
        </w:rPr>
        <w:t>millones, sin modificaciones, con una ejecución de Q 1.88</w:t>
      </w:r>
      <w:r w:rsidRPr="007223FB">
        <w:rPr>
          <w:rFonts w:cs="Arial-Bold"/>
          <w:bCs/>
        </w:rPr>
        <w:t xml:space="preserve"> </w:t>
      </w:r>
      <w:r w:rsidRPr="007223FB">
        <w:rPr>
          <w:rFonts w:cstheme="minorHAnsi"/>
        </w:rPr>
        <w:t>millones que equivalen a un 34.03%.</w:t>
      </w:r>
      <w:r w:rsidRPr="007223FB">
        <w:rPr>
          <w:rFonts w:cs="Candara"/>
          <w:color w:val="000000" w:themeColor="text1"/>
        </w:rPr>
        <w:t xml:space="preserve"> En el acumulado (enero-agosto) ha ejecutado Q</w:t>
      </w:r>
      <w:r w:rsidRPr="007223FB">
        <w:rPr>
          <w:rFonts w:cs="Arial-Bold"/>
          <w:bCs/>
        </w:rPr>
        <w:t xml:space="preserve"> 3.50 </w:t>
      </w:r>
      <w:r w:rsidRPr="007223FB">
        <w:rPr>
          <w:rFonts w:cs="Candara"/>
          <w:color w:val="000000" w:themeColor="text1"/>
        </w:rPr>
        <w:t>millones equivalente a un 63.30%, superando el 50% de ejecución.</w:t>
      </w:r>
    </w:p>
    <w:p w:rsidR="00D4662E" w:rsidRPr="007223FB" w:rsidRDefault="00D4662E" w:rsidP="000B07D9">
      <w:pPr>
        <w:pStyle w:val="Prrafodelista"/>
        <w:numPr>
          <w:ilvl w:val="0"/>
          <w:numId w:val="5"/>
        </w:numPr>
        <w:spacing w:before="120" w:after="120" w:line="240" w:lineRule="auto"/>
        <w:contextualSpacing w:val="0"/>
        <w:rPr>
          <w:rFonts w:cs="Candara"/>
        </w:rPr>
      </w:pPr>
      <w:r w:rsidRPr="007223FB">
        <w:rPr>
          <w:rFonts w:cs="Candara"/>
          <w:b/>
        </w:rPr>
        <w:t>Empresa Portuaria Quetzal –EPQ-</w:t>
      </w:r>
    </w:p>
    <w:p w:rsidR="00857BB8" w:rsidRPr="007223FB" w:rsidRDefault="00857BB8" w:rsidP="001617C9">
      <w:pPr>
        <w:spacing w:before="120" w:after="120" w:line="240" w:lineRule="auto"/>
        <w:rPr>
          <w:rFonts w:cs="Candara"/>
        </w:rPr>
      </w:pPr>
      <w:r w:rsidRPr="007223FB">
        <w:rPr>
          <w:rFonts w:cs="Candara"/>
        </w:rPr>
        <w:t>La Empresa Portuaria Quetzal –EPQ</w:t>
      </w:r>
      <w:r w:rsidRPr="007223FB">
        <w:rPr>
          <w:rFonts w:cs="Candara"/>
          <w:b/>
        </w:rPr>
        <w:t>-</w:t>
      </w:r>
      <w:r w:rsidRPr="007223FB">
        <w:rPr>
          <w:rFonts w:cs="Candara"/>
        </w:rPr>
        <w:t xml:space="preserve"> es una entidad estatal, descentralizada y autónoma, </w:t>
      </w:r>
      <w:r w:rsidR="00722524" w:rsidRPr="007223FB">
        <w:rPr>
          <w:rFonts w:cs="Candara"/>
        </w:rPr>
        <w:t>que,</w:t>
      </w:r>
      <w:r w:rsidRPr="007223FB">
        <w:rPr>
          <w:rFonts w:cs="Candara"/>
        </w:rPr>
        <w:t xml:space="preserve"> según su ley orgánica, tiene como finalidad proporcionar servicios marítimo-portuarios, satisfacer la demanda de tráfico portuario, consistentes en carga y descarga de mercancías; embarque y desembarque de personas. Desempeña un papel estratégico en la costa sur de Guatemala, como parte importante de la cadena logística de trasporte marítimo. En la economía nacional, determina la variable de incremento o decremento de la prestación de servicios portuarios; así como, la institución define la relación de capacidad instalada con servicios prestados. Al 03 de septiembre del ejercicio fiscal 2019, registró en SIPLAN dos Resultados Institucionales: a) </w:t>
      </w:r>
      <w:r w:rsidRPr="007223FB">
        <w:rPr>
          <w:rFonts w:cs="Courier"/>
          <w:bCs/>
        </w:rPr>
        <w:t>Para el 2023 se ha incrementado en 11.20 por ciento los servicios de carga y descarga de mercancías</w:t>
      </w:r>
      <w:r w:rsidRPr="007223FB">
        <w:rPr>
          <w:rFonts w:cs="Candara"/>
        </w:rPr>
        <w:t>, con un producto: 1. Servicios de Manejo de Mercancías, con una meta vigente de 13</w:t>
      </w:r>
      <w:r w:rsidR="00D4662E" w:rsidRPr="007223FB">
        <w:rPr>
          <w:rFonts w:cs="Candara"/>
        </w:rPr>
        <w:t>, 550,747</w:t>
      </w:r>
      <w:r w:rsidRPr="007223FB">
        <w:rPr>
          <w:rFonts w:cs="Candara"/>
        </w:rPr>
        <w:t xml:space="preserve"> toneladas métricas, con un avance de ejecución de 36.24% y un acumulado de 68.77% de enero a agosto. b) </w:t>
      </w:r>
      <w:r w:rsidRPr="007223FB">
        <w:rPr>
          <w:rFonts w:cs="Courier"/>
          <w:bCs/>
        </w:rPr>
        <w:t>Para el 2023 se ha incrementado en 4 por ciento los buques atendidos en los puestos de atraque y zarpe, con un producto</w:t>
      </w:r>
      <w:r w:rsidRPr="007223FB">
        <w:rPr>
          <w:rFonts w:cs="Candara"/>
        </w:rPr>
        <w:t xml:space="preserve">: 1. </w:t>
      </w:r>
      <w:r w:rsidRPr="007223FB">
        <w:rPr>
          <w:rFonts w:cs="Arial"/>
        </w:rPr>
        <w:t>Servicios marítimos portuarios a buques,</w:t>
      </w:r>
      <w:r w:rsidRPr="007223FB">
        <w:rPr>
          <w:rFonts w:cs="Candara"/>
        </w:rPr>
        <w:t xml:space="preserve"> con una meta vigente de </w:t>
      </w:r>
      <w:r w:rsidRPr="007223FB">
        <w:rPr>
          <w:rFonts w:cs="Arial"/>
        </w:rPr>
        <w:t>1,432 barcos</w:t>
      </w:r>
      <w:r w:rsidRPr="007223FB">
        <w:rPr>
          <w:rFonts w:cstheme="minorHAnsi"/>
        </w:rPr>
        <w:t xml:space="preserve">, </w:t>
      </w:r>
      <w:r w:rsidRPr="007223FB">
        <w:rPr>
          <w:rFonts w:cs="Candara"/>
        </w:rPr>
        <w:t xml:space="preserve">con un avance de ejecución de 31.70% y un acumulado de 66.41%. </w:t>
      </w:r>
      <w:r w:rsidRPr="007223FB">
        <w:rPr>
          <w:rFonts w:cstheme="minorHAnsi"/>
        </w:rPr>
        <w:t>Al 5 de septiembre del ejercicio fiscal 2019, SICOIN registra un presupuesto inicial de Q</w:t>
      </w:r>
      <w:r w:rsidRPr="007223FB">
        <w:rPr>
          <w:rFonts w:cs="Arial-Bold"/>
          <w:b/>
          <w:bCs/>
        </w:rPr>
        <w:t xml:space="preserve"> </w:t>
      </w:r>
      <w:r w:rsidRPr="007223FB">
        <w:rPr>
          <w:rFonts w:cs="Arial-Bold"/>
          <w:bCs/>
        </w:rPr>
        <w:t>976.73</w:t>
      </w:r>
      <w:r w:rsidRPr="007223FB">
        <w:rPr>
          <w:rFonts w:cs="Arial-Bold"/>
          <w:b/>
          <w:bCs/>
        </w:rPr>
        <w:t xml:space="preserve"> </w:t>
      </w:r>
      <w:r w:rsidRPr="007223FB">
        <w:rPr>
          <w:rFonts w:cstheme="minorHAnsi"/>
        </w:rPr>
        <w:t xml:space="preserve">millones, sin modificaciones, con una </w:t>
      </w:r>
      <w:r w:rsidRPr="007223FB">
        <w:rPr>
          <w:rFonts w:cstheme="minorHAnsi"/>
        </w:rPr>
        <w:lastRenderedPageBreak/>
        <w:t>ejecución de Q</w:t>
      </w:r>
      <w:r w:rsidRPr="007223FB">
        <w:rPr>
          <w:rFonts w:cs="Arial-Bold"/>
          <w:bCs/>
        </w:rPr>
        <w:t xml:space="preserve"> 153.03</w:t>
      </w:r>
      <w:r w:rsidRPr="007223FB">
        <w:rPr>
          <w:rFonts w:cstheme="minorHAnsi"/>
        </w:rPr>
        <w:t xml:space="preserve"> millones que equivalen a un 15.67%.  </w:t>
      </w:r>
      <w:r w:rsidRPr="007223FB">
        <w:rPr>
          <w:rFonts w:cs="Candara"/>
        </w:rPr>
        <w:t>En el acumulado (enero-agosto) ha ejecutado Q</w:t>
      </w:r>
      <w:r w:rsidRPr="007223FB">
        <w:rPr>
          <w:rFonts w:cs="Arial-Bold"/>
          <w:bCs/>
        </w:rPr>
        <w:t xml:space="preserve"> 355.90 </w:t>
      </w:r>
      <w:r w:rsidRPr="007223FB">
        <w:rPr>
          <w:rFonts w:cs="Candara"/>
        </w:rPr>
        <w:t>millones equivalente a un 36.44%, su ejecución se mantiene por debajo del 50%.</w:t>
      </w:r>
    </w:p>
    <w:p w:rsidR="002A7644" w:rsidRPr="0085409D" w:rsidRDefault="002A7644" w:rsidP="0085409D">
      <w:pPr>
        <w:pStyle w:val="Prrafodelista"/>
        <w:numPr>
          <w:ilvl w:val="0"/>
          <w:numId w:val="5"/>
        </w:numPr>
        <w:spacing w:before="120" w:after="120" w:line="240" w:lineRule="auto"/>
        <w:rPr>
          <w:b/>
          <w:lang w:val="es-ES" w:eastAsia="es-GT"/>
        </w:rPr>
      </w:pPr>
      <w:r w:rsidRPr="0085409D">
        <w:rPr>
          <w:b/>
          <w:lang w:val="es-ES" w:eastAsia="es-GT"/>
        </w:rPr>
        <w:t>Fondo de Tierras</w:t>
      </w:r>
    </w:p>
    <w:p w:rsidR="00DB33D9" w:rsidRPr="007223FB" w:rsidRDefault="00DB33D9" w:rsidP="001617C9">
      <w:pPr>
        <w:autoSpaceDE w:val="0"/>
        <w:autoSpaceDN w:val="0"/>
        <w:adjustRightInd w:val="0"/>
        <w:spacing w:before="120" w:after="120" w:line="240" w:lineRule="auto"/>
        <w:rPr>
          <w:rFonts w:eastAsia="Times New Roman" w:cs="Times New Roman"/>
          <w:bCs/>
          <w:lang w:eastAsia="es-ES"/>
        </w:rPr>
      </w:pPr>
      <w:r w:rsidRPr="007223FB">
        <w:rPr>
          <w:rFonts w:eastAsia="Times New Roman" w:cs="Times New Roman"/>
          <w:bCs/>
          <w:lang w:eastAsia="es-ES"/>
        </w:rPr>
        <w:t xml:space="preserve">La población objetivo del Fondo de Tierras, es la población campesina pobre, sin tierra, plantea su aporte al resultado estratégico: </w:t>
      </w:r>
      <w:r w:rsidRPr="007223FB">
        <w:rPr>
          <w:rFonts w:eastAsia="Times New Roman" w:cs="Times New Roman"/>
          <w:bCs/>
          <w:i/>
          <w:lang w:eastAsia="es-ES"/>
        </w:rPr>
        <w:t xml:space="preserve">“Para el 2019, se ha disminuido la población subalimentada en 1 punto porcentual (De 15.6% en 2015 a 14.6% en 2019)”, </w:t>
      </w:r>
      <w:r w:rsidRPr="007223FB">
        <w:rPr>
          <w:rFonts w:eastAsia="Times New Roman" w:cs="Times New Roman"/>
          <w:bCs/>
          <w:lang w:eastAsia="es-ES"/>
        </w:rPr>
        <w:t xml:space="preserve">con esta producción se contribuirá a que la población tenga acceso a la tierra de manera integral, vivienda, productividad, regularización y adjudicación, se tienen contemplados el producto, </w:t>
      </w:r>
      <w:r w:rsidRPr="007223FB">
        <w:rPr>
          <w:rFonts w:eastAsia="Times New Roman" w:cs="Times New Roman"/>
          <w:bCs/>
          <w:i/>
          <w:lang w:eastAsia="es-ES"/>
        </w:rPr>
        <w:t>“Familias campesinas con acceso a la tierra vía crédito y subsidio para la compra de tierra”</w:t>
      </w:r>
      <w:r w:rsidRPr="007223FB">
        <w:rPr>
          <w:rFonts w:eastAsia="Times New Roman" w:cs="Times New Roman"/>
          <w:bCs/>
          <w:lang w:eastAsia="es-ES"/>
        </w:rPr>
        <w:t xml:space="preserve"> este producto tiene una planificación física vigente de 240 familias, para el segundo cuatrimestre su ejecución física fue del 52% equivalente a una atención a 125 familias, con un presupuesto de ejecutado de Q. 27.64 millones. </w:t>
      </w:r>
    </w:p>
    <w:p w:rsidR="00DB33D9" w:rsidRPr="007223FB" w:rsidRDefault="00DB33D9" w:rsidP="001617C9">
      <w:pPr>
        <w:autoSpaceDE w:val="0"/>
        <w:autoSpaceDN w:val="0"/>
        <w:adjustRightInd w:val="0"/>
        <w:spacing w:before="120" w:after="120" w:line="240" w:lineRule="auto"/>
        <w:rPr>
          <w:rFonts w:eastAsia="Times New Roman" w:cs="Times New Roman"/>
          <w:bCs/>
          <w:lang w:eastAsia="es-ES"/>
        </w:rPr>
      </w:pPr>
      <w:r w:rsidRPr="007223FB">
        <w:rPr>
          <w:rFonts w:eastAsia="Times New Roman" w:cs="Times New Roman"/>
          <w:bCs/>
          <w:lang w:eastAsia="es-ES"/>
        </w:rPr>
        <w:t xml:space="preserve">Para el RI: </w:t>
      </w:r>
      <w:r w:rsidRPr="007223FB">
        <w:rPr>
          <w:rFonts w:eastAsia="Times New Roman" w:cs="Times New Roman"/>
          <w:bCs/>
          <w:i/>
          <w:lang w:eastAsia="es-ES"/>
        </w:rPr>
        <w:t xml:space="preserve">“Para el 2020 se ha incrementado a 31.6% el acceso a la tierra para las familias campesinas pobres de 9.2% en 2015 a 31.6% en 2020” </w:t>
      </w:r>
      <w:r w:rsidRPr="007223FB">
        <w:rPr>
          <w:rFonts w:eastAsia="Times New Roman" w:cs="Times New Roman"/>
          <w:bCs/>
          <w:lang w:eastAsia="es-ES"/>
        </w:rPr>
        <w:t xml:space="preserve">se contemplan dos productos siendo: </w:t>
      </w:r>
      <w:r w:rsidRPr="007223FB">
        <w:rPr>
          <w:rFonts w:eastAsia="Times New Roman" w:cs="Times New Roman"/>
          <w:bCs/>
          <w:i/>
          <w:lang w:eastAsia="es-ES"/>
        </w:rPr>
        <w:t>“Familias campesinas con acceso a la tierra vía crédito y subsidio para arrendamiento de tierras”</w:t>
      </w:r>
      <w:r w:rsidRPr="007223FB">
        <w:rPr>
          <w:rFonts w:eastAsia="Times New Roman" w:cs="Times New Roman"/>
          <w:bCs/>
          <w:lang w:eastAsia="es-ES"/>
        </w:rPr>
        <w:t xml:space="preserve">, con una meta planificada vigente de 24,400 familias, al segundo cuatrimestre se tiene una ejecución física de 15,680 familias y ejecución financiera es de Q. 41.23 millones; en el producto </w:t>
      </w:r>
      <w:r w:rsidRPr="007223FB">
        <w:rPr>
          <w:rFonts w:eastAsia="Times New Roman" w:cs="Times New Roman"/>
          <w:bCs/>
          <w:i/>
          <w:lang w:eastAsia="es-ES"/>
        </w:rPr>
        <w:t>“Familias campesinas beneficiadas con certeza jurídica vía regularización y adjudicación de tierras del Estado”</w:t>
      </w:r>
      <w:r w:rsidRPr="007223FB">
        <w:rPr>
          <w:rFonts w:eastAsia="Times New Roman" w:cs="Times New Roman"/>
          <w:bCs/>
          <w:lang w:eastAsia="es-ES"/>
        </w:rPr>
        <w:t xml:space="preserve"> tiene una meta vigente de 3,200 familias, el avance físico para el segundo cuatrimestre del 2019 es del 48.16% con una atención a 1,541 familias y una ejecución física de Q. 2.64 millones. </w:t>
      </w:r>
    </w:p>
    <w:p w:rsidR="00DB33D9" w:rsidRPr="007223FB" w:rsidRDefault="00DB33D9" w:rsidP="001617C9">
      <w:pPr>
        <w:autoSpaceDE w:val="0"/>
        <w:autoSpaceDN w:val="0"/>
        <w:adjustRightInd w:val="0"/>
        <w:spacing w:before="120" w:after="120" w:line="240" w:lineRule="auto"/>
        <w:rPr>
          <w:rFonts w:eastAsia="Times New Roman" w:cs="Times New Roman"/>
          <w:bCs/>
          <w:lang w:eastAsia="es-ES"/>
        </w:rPr>
      </w:pPr>
      <w:r w:rsidRPr="007223FB">
        <w:rPr>
          <w:rFonts w:eastAsia="Times New Roman" w:cs="Times New Roman"/>
          <w:bCs/>
          <w:lang w:eastAsia="es-ES"/>
        </w:rPr>
        <w:t xml:space="preserve">En cuanto al RI: </w:t>
      </w:r>
      <w:r w:rsidRPr="007223FB">
        <w:rPr>
          <w:rFonts w:eastAsia="Times New Roman" w:cs="Times New Roman"/>
          <w:bCs/>
          <w:i/>
          <w:lang w:eastAsia="es-ES"/>
        </w:rPr>
        <w:t>“Para el 2020 se ha incrementado a 55% el índice de desarrollo de comunidades agrarias sostenibles, de 30% en 2015 a 55% en 2020”</w:t>
      </w:r>
      <w:r w:rsidRPr="007223FB">
        <w:rPr>
          <w:rFonts w:eastAsia="Times New Roman" w:cs="Times New Roman"/>
          <w:bCs/>
          <w:lang w:eastAsia="es-ES"/>
        </w:rPr>
        <w:t xml:space="preserve"> presenta dos productos incluyendo Dirección y Coordinación, el producto </w:t>
      </w:r>
      <w:r w:rsidRPr="007223FB">
        <w:rPr>
          <w:rFonts w:eastAsia="Times New Roman" w:cs="Times New Roman"/>
          <w:bCs/>
          <w:i/>
          <w:lang w:eastAsia="es-ES"/>
        </w:rPr>
        <w:t xml:space="preserve">“Familias campesinas con asistencia técnica y subsidio para compra de alimentos y capital de trabajo para ejecución de proyectos productivos” </w:t>
      </w:r>
      <w:r w:rsidRPr="007223FB">
        <w:rPr>
          <w:rFonts w:eastAsia="Times New Roman" w:cs="Times New Roman"/>
          <w:bCs/>
          <w:lang w:eastAsia="es-ES"/>
        </w:rPr>
        <w:t xml:space="preserve">tiene planificado una meta vigente de 1831 familias, en el segundo cuatrimestre se tuvo un avance físico del 59.97% equivalente a la atención de 1,098 familias, la ejecución presupuestaria fue de Q. 9.52 millones. </w:t>
      </w:r>
    </w:p>
    <w:p w:rsidR="00DB33D9" w:rsidRPr="007223FB" w:rsidRDefault="00DB33D9" w:rsidP="001617C9">
      <w:pPr>
        <w:spacing w:before="120" w:after="120" w:line="240" w:lineRule="auto"/>
        <w:rPr>
          <w:lang w:val="es-MX"/>
        </w:rPr>
      </w:pPr>
      <w:r w:rsidRPr="007223FB">
        <w:rPr>
          <w:lang w:val="es-MX"/>
        </w:rPr>
        <w:t xml:space="preserve">El presupuesto inicial y vigente del Fontierras es de Q. 278.02 millones, la ejecución del segundo cuatrimestre fue de Q. 102.92 millones equivalente al 37.02%, en su ejecución acumulada de enero a agosto del ejercicio fiscal 2019 es de Q.124.4 millones equivalente al 44.74%.   </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de Ciencia y Tecnología Agrícolas</w:t>
      </w:r>
      <w:r w:rsidR="009171FE" w:rsidRPr="007223FB">
        <w:rPr>
          <w:b/>
          <w:lang w:val="es-ES" w:eastAsia="es-GT"/>
        </w:rPr>
        <w:t xml:space="preserve"> –ICTA-</w:t>
      </w:r>
      <w:r w:rsidRPr="007223FB">
        <w:rPr>
          <w:b/>
          <w:lang w:val="es-ES" w:eastAsia="es-GT"/>
        </w:rPr>
        <w:t xml:space="preserve">   </w:t>
      </w:r>
    </w:p>
    <w:p w:rsidR="00DB33D9" w:rsidRPr="007223FB" w:rsidRDefault="00DB33D9" w:rsidP="001617C9">
      <w:pPr>
        <w:autoSpaceDE w:val="0"/>
        <w:autoSpaceDN w:val="0"/>
        <w:adjustRightInd w:val="0"/>
        <w:spacing w:before="120" w:after="120" w:line="240" w:lineRule="auto"/>
        <w:rPr>
          <w:rFonts w:cs="Candara"/>
        </w:rPr>
      </w:pPr>
      <w:r w:rsidRPr="007223FB">
        <w:rPr>
          <w:rFonts w:cs="Candara"/>
        </w:rPr>
        <w:t xml:space="preserve">El ICTA establece  un único resultado institucional RI: </w:t>
      </w:r>
      <w:r w:rsidRPr="007223FB">
        <w:rPr>
          <w:rFonts w:cs="Candara"/>
          <w:i/>
        </w:rPr>
        <w:t>“Para el año 2020 mediante la generación y promoción de tecnología agrícola se ha incrementado el potencial de rendimiento de los cultivares de granos básicos maíz  y frijol y hortalizas papa, camote y yuca a un 5% de 2.45% en 2014 a 5% en 2020”</w:t>
      </w:r>
      <w:r w:rsidRPr="007223FB">
        <w:rPr>
          <w:rFonts w:cs="Candara"/>
        </w:rPr>
        <w:t xml:space="preserve">, define cuatro productos incluyendo Dirección  y coordinación, para el producto </w:t>
      </w:r>
      <w:r w:rsidRPr="007223FB">
        <w:rPr>
          <w:rFonts w:cs="Candara"/>
          <w:i/>
        </w:rPr>
        <w:t>“Informes científicos de tecnologías para la producción agrícola en beneficio de agricultores”</w:t>
      </w:r>
      <w:r w:rsidRPr="007223FB">
        <w:rPr>
          <w:rFonts w:cs="Candara"/>
        </w:rPr>
        <w:t xml:space="preserve"> se tiene una planificación y vigencia de meta física de 71 documentos su avance es de 0% y una ejecución financiera por Q.2.91 millones; en el producto </w:t>
      </w:r>
      <w:r w:rsidRPr="007223FB">
        <w:rPr>
          <w:rFonts w:cs="Candara"/>
          <w:i/>
        </w:rPr>
        <w:t xml:space="preserve">“Agricultores beneficiados con semillas mejoradas y servicios técnicos” </w:t>
      </w:r>
      <w:r w:rsidRPr="007223FB">
        <w:rPr>
          <w:rFonts w:cs="Candara"/>
        </w:rPr>
        <w:t xml:space="preserve">la meta física inicial y vigente de 174 personas para el segundo cuatrimestre del 2019 su avance físico  es de 169 personas  y la ejecución financiera fue de Q.0.51 millones; para el producto </w:t>
      </w:r>
      <w:r w:rsidRPr="007223FB">
        <w:rPr>
          <w:rFonts w:cs="Candara"/>
          <w:i/>
        </w:rPr>
        <w:t xml:space="preserve">“Agricultores capacitados en técnicas de producción y procesamiento agrícola” </w:t>
      </w:r>
      <w:r w:rsidRPr="007223FB">
        <w:rPr>
          <w:rFonts w:cs="Candara"/>
        </w:rPr>
        <w:t xml:space="preserve">la meta física vigente es de 2055 personas, durante el segundo cuatrimestre se capacito a 1,060 personas con una ejecución financiera de Q.1.16 millones. </w:t>
      </w:r>
    </w:p>
    <w:p w:rsidR="00DB33D9" w:rsidRPr="007223FB" w:rsidRDefault="00DB33D9" w:rsidP="001617C9">
      <w:pPr>
        <w:spacing w:before="120" w:after="120" w:line="240" w:lineRule="auto"/>
        <w:rPr>
          <w:lang w:val="es-MX"/>
        </w:rPr>
      </w:pPr>
      <w:r w:rsidRPr="007223FB">
        <w:rPr>
          <w:lang w:val="es-MX"/>
        </w:rPr>
        <w:t xml:space="preserve">El presupuesto inicial y vigente del ICTA es Q. 27.64 millones, para el segundo cuatrimestre ejecutó Q.10.01 millones equivalente al 36.22%,  en el acumulado enero a agosto la ejecución financiera es de Q.17.7 millones.  </w:t>
      </w:r>
    </w:p>
    <w:p w:rsidR="00A91ED0" w:rsidRPr="007223FB" w:rsidRDefault="00A91ED0" w:rsidP="000B07D9">
      <w:pPr>
        <w:pStyle w:val="Prrafodelista"/>
        <w:numPr>
          <w:ilvl w:val="0"/>
          <w:numId w:val="5"/>
        </w:numPr>
        <w:tabs>
          <w:tab w:val="left" w:pos="1440"/>
        </w:tabs>
        <w:spacing w:before="120" w:after="120" w:line="240" w:lineRule="auto"/>
        <w:contextualSpacing w:val="0"/>
        <w:rPr>
          <w:rFonts w:eastAsia="Times New Roman" w:cs="Times New Roman"/>
          <w:lang w:eastAsia="zh-CN"/>
        </w:rPr>
      </w:pPr>
      <w:r w:rsidRPr="007223FB">
        <w:rPr>
          <w:rFonts w:eastAsia="Calibri" w:cs="Times New Roman"/>
          <w:b/>
        </w:rPr>
        <w:lastRenderedPageBreak/>
        <w:t>Instituto de Fomento M</w:t>
      </w:r>
      <w:r w:rsidR="009171FE" w:rsidRPr="007223FB">
        <w:rPr>
          <w:rFonts w:eastAsia="Calibri" w:cs="Times New Roman"/>
          <w:b/>
        </w:rPr>
        <w:t>unicipal –INFOM-</w:t>
      </w:r>
    </w:p>
    <w:p w:rsidR="00A91ED0" w:rsidRPr="007223FB" w:rsidRDefault="00A91ED0" w:rsidP="001617C9">
      <w:pPr>
        <w:autoSpaceDE w:val="0"/>
        <w:autoSpaceDN w:val="0"/>
        <w:adjustRightInd w:val="0"/>
        <w:spacing w:before="120" w:after="120" w:line="240" w:lineRule="auto"/>
        <w:rPr>
          <w:rFonts w:cs="Candara"/>
        </w:rPr>
      </w:pPr>
      <w:r w:rsidRPr="007223FB">
        <w:t xml:space="preserve">El INFOM precisa de un resultado estratégico que aporta a disminuir la prevalencia de desnutrición crónica a través de la construcción de acueductos y alcantarillados, mientras, los otros programas y productos responden a resultados institucionales que contribuyen a incrementar la capacidad de gestión administrativa técnica y financiera de las municipalidades; </w:t>
      </w:r>
      <w:r w:rsidRPr="007223FB">
        <w:rPr>
          <w:rFonts w:cs="Candara"/>
        </w:rPr>
        <w:t>destina un monto de Q528.88 millones, para el segundo cuatrimestre ha ejecutado 14.85% tiene un acumulado de 24.90% de enero a agosto del 2019.</w:t>
      </w:r>
    </w:p>
    <w:p w:rsidR="00DB33D9" w:rsidRPr="007223FB" w:rsidRDefault="00A91ED0" w:rsidP="001617C9">
      <w:pPr>
        <w:autoSpaceDE w:val="0"/>
        <w:autoSpaceDN w:val="0"/>
        <w:adjustRightInd w:val="0"/>
        <w:spacing w:before="120" w:after="120" w:line="240" w:lineRule="auto"/>
        <w:rPr>
          <w:rFonts w:cs="Candara"/>
        </w:rPr>
      </w:pPr>
      <w:r w:rsidRPr="007223FB">
        <w:rPr>
          <w:rFonts w:cs="Candara"/>
        </w:rPr>
        <w:t>El programa que aporta a disminuir la desnutrición crónica, en el producto de construcción de acueductos tiene una meta física vigente de 140,766 metros y cuenta con un presupuesto de             Q 38.94 millones, tiene un avance en la ejecución de 17.75%, para el avance acumulado posee el 17.54%. Otro producto de interés es la construcción de alcantarillados, la meta física es de 27,470 metros y el monto vigente es de Q 44 millones, el avance de ejecución del segundo cuatrimestre es de 0% y tiene un avance acumulado de 20.05%.</w:t>
      </w:r>
    </w:p>
    <w:p w:rsidR="009171FE" w:rsidRPr="007223FB" w:rsidRDefault="009171FE" w:rsidP="000B07D9">
      <w:pPr>
        <w:pStyle w:val="Prrafodelista"/>
        <w:numPr>
          <w:ilvl w:val="0"/>
          <w:numId w:val="5"/>
        </w:numPr>
        <w:spacing w:before="120" w:after="120" w:line="240" w:lineRule="auto"/>
        <w:contextualSpacing w:val="0"/>
        <w:rPr>
          <w:rFonts w:cs="Candara"/>
          <w:bCs/>
          <w:color w:val="000000" w:themeColor="text1"/>
        </w:rPr>
      </w:pPr>
      <w:r w:rsidRPr="007223FB">
        <w:rPr>
          <w:rFonts w:cs="Candara"/>
          <w:b/>
          <w:color w:val="000000" w:themeColor="text1"/>
        </w:rPr>
        <w:t>Instituto de Fomento de Hipotecas Aseguradas –FHA</w:t>
      </w:r>
    </w:p>
    <w:p w:rsidR="00857BB8" w:rsidRPr="007223FB" w:rsidRDefault="00857BB8" w:rsidP="001617C9">
      <w:pPr>
        <w:spacing w:before="120" w:after="120" w:line="240" w:lineRule="auto"/>
      </w:pPr>
      <w:r w:rsidRPr="007223FB">
        <w:rPr>
          <w:rFonts w:cs="Candara"/>
          <w:bCs/>
          <w:color w:val="000000" w:themeColor="text1"/>
        </w:rPr>
        <w:t>El</w:t>
      </w:r>
      <w:r w:rsidRPr="007223FB">
        <w:rPr>
          <w:rFonts w:cs="Candara"/>
          <w:color w:val="000000" w:themeColor="text1"/>
        </w:rPr>
        <w:t xml:space="preserve"> Instituto de Fomento de Hipotecas Aseguradas –FHA- es de carácter estatal descentralizada, que </w:t>
      </w:r>
      <w:r w:rsidRPr="007223FB">
        <w:rPr>
          <w:rFonts w:eastAsia="Times New Roman" w:cs="Helvetica"/>
          <w:color w:val="000000" w:themeColor="text1"/>
          <w:lang w:val="es-ES" w:eastAsia="es-GT"/>
        </w:rPr>
        <w:t xml:space="preserve">tiene como objetivo realizar operaciones con relación con hipotecas constituidas en garantía de préstamos otorgados con intervención de las entidades aprobadas por dicho sistema, según su Ley Orgánica. </w:t>
      </w:r>
      <w:r w:rsidRPr="007223FB">
        <w:rPr>
          <w:rFonts w:cstheme="minorHAnsi"/>
          <w:color w:val="000000" w:themeColor="text1"/>
        </w:rPr>
        <w:t>Al 05 de septiembre del ejercicio fiscal 2019, registró en SIPLAN, tres Resultados Institucionales</w:t>
      </w:r>
      <w:r w:rsidRPr="007223FB">
        <w:rPr>
          <w:rFonts w:cs="Candara"/>
        </w:rPr>
        <w:t xml:space="preserve">: a) Emisión de Seguro de Desgravamen, con un producto: </w:t>
      </w:r>
      <w:r w:rsidRPr="007223FB">
        <w:rPr>
          <w:rFonts w:cs="Candara"/>
          <w:color w:val="000000"/>
        </w:rPr>
        <w:t xml:space="preserve">1. Emisión de seguro de desgravamen, </w:t>
      </w:r>
      <w:r w:rsidRPr="007223FB">
        <w:rPr>
          <w:color w:val="000000" w:themeColor="text1"/>
        </w:rPr>
        <w:t xml:space="preserve">con una meta vigente de 4,655 documentos, con un avance de ejecución de 23.52%. b) Emisión de Seguro de Hipoteca, con un producto: Emisión de seguro de hipoteca, con una meta vigente de 5,060 documentos, con un avance de ejecución de 24.33%. c) Venta de Inmuebles Propios, con un producto: Emisión de venta de inmuebles, con una meta anual de 501 documentos, con un avance de ejecución de 31.34%. </w:t>
      </w:r>
      <w:r w:rsidRPr="007223FB">
        <w:rPr>
          <w:rFonts w:cstheme="minorHAnsi"/>
        </w:rPr>
        <w:t xml:space="preserve">Al 05 de septiembre del ejercicio fiscal 2019, SICOIN registra un presupuesto inicial de </w:t>
      </w:r>
      <w:r w:rsidRPr="007223FB">
        <w:rPr>
          <w:rFonts w:cstheme="minorHAnsi"/>
          <w:color w:val="000000" w:themeColor="text1"/>
        </w:rPr>
        <w:t xml:space="preserve">Q </w:t>
      </w:r>
      <w:r w:rsidRPr="007223FB">
        <w:rPr>
          <w:rFonts w:cs="Arial-Bold"/>
          <w:bCs/>
        </w:rPr>
        <w:t xml:space="preserve">444.87 </w:t>
      </w:r>
      <w:r w:rsidRPr="007223FB">
        <w:rPr>
          <w:rFonts w:cstheme="minorHAnsi"/>
        </w:rPr>
        <w:t xml:space="preserve">millones, sin modificaciones y según el formulario: DTP-Informe de Gestión al 05 de septiembre de 2019, reportó una ejecución de </w:t>
      </w:r>
      <w:r w:rsidRPr="007223FB">
        <w:rPr>
          <w:rFonts w:cstheme="minorHAnsi"/>
          <w:color w:val="000000" w:themeColor="text1"/>
        </w:rPr>
        <w:t>Q 138.07</w:t>
      </w:r>
      <w:r w:rsidRPr="007223FB">
        <w:rPr>
          <w:rFonts w:cs="Arial-Bold"/>
          <w:bCs/>
          <w:color w:val="000000" w:themeColor="text1"/>
        </w:rPr>
        <w:t xml:space="preserve"> millones </w:t>
      </w:r>
      <w:r w:rsidRPr="007223FB">
        <w:rPr>
          <w:rFonts w:cs="Arial-Bold"/>
          <w:bCs/>
        </w:rPr>
        <w:t xml:space="preserve">que equivalen a </w:t>
      </w:r>
      <w:r w:rsidRPr="007223FB">
        <w:rPr>
          <w:rFonts w:cs="Arial-Bold"/>
          <w:bCs/>
          <w:color w:val="000000" w:themeColor="text1"/>
        </w:rPr>
        <w:t xml:space="preserve">un 31.04%. Que supera el 20% de ejecución cuatrimestral. </w:t>
      </w:r>
      <w:r w:rsidRPr="007223FB">
        <w:rPr>
          <w:rFonts w:cs="Candara"/>
          <w:color w:val="000000" w:themeColor="text1"/>
        </w:rPr>
        <w:t>En el acumulado (enero-agosto) ha ejecutado Q</w:t>
      </w:r>
      <w:r w:rsidRPr="007223FB">
        <w:rPr>
          <w:rFonts w:cs="Arial-Bold"/>
          <w:bCs/>
        </w:rPr>
        <w:t xml:space="preserve"> 278.37 </w:t>
      </w:r>
      <w:r w:rsidRPr="007223FB">
        <w:rPr>
          <w:rFonts w:cs="Candara"/>
          <w:color w:val="000000" w:themeColor="text1"/>
        </w:rPr>
        <w:t>millones equivalente a un 63%. Es de resaltar que supera el 60% de ejecución al segundo cuatrimestre.</w:t>
      </w:r>
    </w:p>
    <w:p w:rsidR="009171FE" w:rsidRPr="007223FB" w:rsidRDefault="009171FE" w:rsidP="000B07D9">
      <w:pPr>
        <w:pStyle w:val="Prrafodelista"/>
        <w:numPr>
          <w:ilvl w:val="0"/>
          <w:numId w:val="5"/>
        </w:numPr>
        <w:spacing w:before="120" w:after="120" w:line="240" w:lineRule="auto"/>
        <w:contextualSpacing w:val="0"/>
        <w:rPr>
          <w:lang w:val="es-ES" w:eastAsia="es-GT"/>
        </w:rPr>
      </w:pPr>
      <w:r w:rsidRPr="007223FB">
        <w:rPr>
          <w:b/>
          <w:lang w:val="es-ES" w:eastAsia="es-GT"/>
        </w:rPr>
        <w:t>Instituto Nacional de Bosques –INAB</w:t>
      </w:r>
    </w:p>
    <w:p w:rsidR="00626643" w:rsidRPr="007223FB" w:rsidRDefault="00626643" w:rsidP="001617C9">
      <w:pPr>
        <w:spacing w:before="120" w:after="120" w:line="240" w:lineRule="auto"/>
        <w:rPr>
          <w:lang w:val="es-ES" w:eastAsia="es-GT"/>
        </w:rPr>
      </w:pPr>
      <w:r w:rsidRPr="007223FB">
        <w:rPr>
          <w:lang w:val="es-ES" w:eastAsia="es-GT"/>
        </w:rPr>
        <w:t>El Instituto Nacional de Bosques –INAB</w:t>
      </w:r>
      <w:r w:rsidRPr="007223FB">
        <w:rPr>
          <w:b/>
          <w:lang w:val="es-ES" w:eastAsia="es-GT"/>
        </w:rPr>
        <w:t xml:space="preserve">- </w:t>
      </w:r>
      <w:r w:rsidRPr="007223FB">
        <w:rPr>
          <w:lang w:val="es-ES" w:eastAsia="es-GT"/>
        </w:rPr>
        <w:t xml:space="preserve">tiene por mandato la administración de los bosques fuera de áreas protegidas y es rector del Resultado Estratégico de País –REP- de “Mantener la cobertura forestal a nivel nacional”, vinculando toda su producción al logro de este resultado estratégico, de esa cuenta el análisis de su producción, ya fue elaborado en el apartado correspondiente del REP 13 del presente informe. </w:t>
      </w:r>
    </w:p>
    <w:p w:rsidR="00626643" w:rsidRPr="007223FB" w:rsidRDefault="00626643" w:rsidP="001617C9">
      <w:pPr>
        <w:spacing w:before="120" w:after="120" w:line="240" w:lineRule="auto"/>
        <w:rPr>
          <w:lang w:val="es-ES" w:eastAsia="es-GT"/>
        </w:rPr>
      </w:pPr>
      <w:r w:rsidRPr="007223FB">
        <w:rPr>
          <w:lang w:val="es-ES" w:eastAsia="es-GT"/>
        </w:rPr>
        <w:t>En cuanto a la ejecución presupuestaria, al segundo cuatrimestre el INAB presenta una ejecución de 51.30% (Q. 79.73 millones) en donde se tiene una brecha de ejecución para el tercer cuatrimestre de Q.75.71 millones, por lo cual es importante mejorar la eficiencia de la entrega de los productos del INAB para cumplir con la calidad en la ejecución del gasto y la programación realizada.</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Nacional de Administración Pública</w:t>
      </w:r>
      <w:r w:rsidR="008A2B69" w:rsidRPr="007223FB">
        <w:rPr>
          <w:b/>
          <w:lang w:val="es-ES" w:eastAsia="es-GT"/>
        </w:rPr>
        <w:t xml:space="preserve"> –INAP-</w:t>
      </w:r>
    </w:p>
    <w:p w:rsidR="00985E6E" w:rsidRDefault="007C1F33" w:rsidP="00985E6E">
      <w:pPr>
        <w:autoSpaceDE w:val="0"/>
        <w:autoSpaceDN w:val="0"/>
        <w:adjustRightInd w:val="0"/>
        <w:spacing w:before="120" w:after="120" w:line="240" w:lineRule="auto"/>
        <w:rPr>
          <w:b/>
          <w:lang w:val="es-ES" w:eastAsia="es-GT"/>
        </w:rPr>
      </w:pPr>
      <w:r w:rsidRPr="007223FB">
        <w:rPr>
          <w:rFonts w:cs="Candara"/>
        </w:rPr>
        <w:t xml:space="preserve">El Instituto Nacional de Administración Pública (INAP), registra dos resultados institucionales: RI2 “Para el año 2024 el INAP incrementa 1.11 la cobertura de servicios de asistencia técnica sobre la línea base del 2018 equivalente a 3,399 incrementándose a 3,784 servidores públicos beneficiados”, para el cual vincula dos productos referentes a servidores públicos asesorados y beneficiados cuyo </w:t>
      </w:r>
      <w:r w:rsidRPr="007223FB">
        <w:rPr>
          <w:rFonts w:cs="Candara"/>
        </w:rPr>
        <w:lastRenderedPageBreak/>
        <w:t xml:space="preserve">avance se encuentra en 0% respectivamente; RI2 “Para el año 2024 el INAP incrementa 1.87 la cobertura de servicios de formación y capacitación sobre la línea base del 2018 equivalente a 16,201 incrementándose a 30,250 servidores públicos beneficiados”, para el cual vincula tres productos relacionados con la atención a servidores públicos en formación, capacitación y cursos preparatorios cuyo avance se encuentra por más del 50% al segundo cuatrimestre de 2019. El INAP para el 2019 cuenta con un presupuesto vigente de Q17.95 millones, del cual ejecutó para el segundo cuatrimestre Q5.88 millones, lo que representa el 32.79%, y  un acumulado de Q9.58 millones equivalentes a 53.35% en lo que va del año. </w:t>
      </w:r>
      <w:r w:rsidR="00985E6E">
        <w:rPr>
          <w:b/>
          <w:lang w:val="es-ES" w:eastAsia="es-GT"/>
        </w:rPr>
        <w:br w:type="page"/>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Instituto Nacional de Estadística</w:t>
      </w:r>
      <w:r w:rsidR="009171FE" w:rsidRPr="007223FB">
        <w:rPr>
          <w:b/>
          <w:lang w:val="es-ES" w:eastAsia="es-GT"/>
        </w:rPr>
        <w:t xml:space="preserve"> –INE-</w:t>
      </w:r>
    </w:p>
    <w:p w:rsidR="009171FE" w:rsidRPr="007223FB" w:rsidRDefault="009171FE" w:rsidP="001617C9">
      <w:pPr>
        <w:autoSpaceDE w:val="0"/>
        <w:autoSpaceDN w:val="0"/>
        <w:adjustRightInd w:val="0"/>
        <w:spacing w:before="120" w:after="120" w:line="240" w:lineRule="auto"/>
        <w:rPr>
          <w:rFonts w:cs="Candara"/>
        </w:rPr>
      </w:pPr>
      <w:r w:rsidRPr="007223FB">
        <w:rPr>
          <w:rFonts w:cs="Candara"/>
        </w:rPr>
        <w:t>El Instituto Nacional de Estadística (INE) se encuentra dentro de las entidades de apoyo estratégico, el cual se constituye en el órgano rector y normativo del Sistema Estadístico Nacional y tiene jurisdicción técnica en toda la República en materia estadística. Tiene como finalidad asegurar que la actividad estadística del país se desarrolle en forma integrada, coordinada, racionalizada y bajo una normatividad común.</w:t>
      </w:r>
    </w:p>
    <w:p w:rsidR="009171FE" w:rsidRPr="007223FB" w:rsidRDefault="009171FE" w:rsidP="001617C9">
      <w:pPr>
        <w:autoSpaceDE w:val="0"/>
        <w:autoSpaceDN w:val="0"/>
        <w:adjustRightInd w:val="0"/>
        <w:spacing w:before="120" w:after="120" w:line="240" w:lineRule="auto"/>
        <w:rPr>
          <w:rFonts w:cs="Candara"/>
        </w:rPr>
      </w:pPr>
      <w:r w:rsidRPr="007223FB">
        <w:rPr>
          <w:rFonts w:cs="Candara"/>
        </w:rPr>
        <w:t>El INE, según su mandato, define dos resultados institucionales los cuales se describen a continuación: RI1 “Generación de Censos y Encuestas”, para el cual vincula un producto, y el RI2 “Producción de estadísticas e indicadores”, la institución no reportó avance obtenido en los resultados a agosto 2019.</w:t>
      </w:r>
    </w:p>
    <w:p w:rsidR="009171FE" w:rsidRPr="007223FB" w:rsidRDefault="009171FE" w:rsidP="001617C9">
      <w:pPr>
        <w:autoSpaceDE w:val="0"/>
        <w:autoSpaceDN w:val="0"/>
        <w:adjustRightInd w:val="0"/>
        <w:spacing w:before="120" w:after="120" w:line="240" w:lineRule="auto"/>
        <w:rPr>
          <w:rFonts w:cs="Candara"/>
          <w:highlight w:val="yellow"/>
        </w:rPr>
      </w:pPr>
      <w:r w:rsidRPr="007223FB">
        <w:rPr>
          <w:rFonts w:cs="Candara"/>
        </w:rPr>
        <w:t xml:space="preserve">Para el segundo cuatrimestre y el acumulado a agosto del 2019, el INE registra una ejecución de metas físicas y financieras para sus productos de acuerdo a lo programado en el POA 2019. </w:t>
      </w:r>
    </w:p>
    <w:p w:rsidR="009171FE" w:rsidRPr="007223FB" w:rsidRDefault="009171FE" w:rsidP="001617C9">
      <w:pPr>
        <w:shd w:val="clear" w:color="auto" w:fill="FFFFFF" w:themeFill="background1"/>
        <w:autoSpaceDE w:val="0"/>
        <w:autoSpaceDN w:val="0"/>
        <w:adjustRightInd w:val="0"/>
        <w:spacing w:before="120" w:after="120" w:line="240" w:lineRule="auto"/>
        <w:rPr>
          <w:rFonts w:cs="Candara"/>
        </w:rPr>
      </w:pPr>
      <w:r w:rsidRPr="007223FB">
        <w:rPr>
          <w:rFonts w:cs="Candara"/>
        </w:rPr>
        <w:t xml:space="preserve">Para el ejercicio fiscal 2019, al INE le fue asignado el presupuesto de Q79.87 millones el cual permanece vigente. La ejecución de mayo a agosto fue de Q16.36 millones equivalente al 20.49% y la ejecución acumulada de enero a agosto fue de Q56.16 millones equivalente al 70.31%, por lo que tiene pendiente de ejecutar un 29.69%. </w:t>
      </w:r>
    </w:p>
    <w:p w:rsidR="009171FE" w:rsidRPr="007223FB" w:rsidRDefault="009171FE" w:rsidP="001617C9">
      <w:pPr>
        <w:autoSpaceDE w:val="0"/>
        <w:autoSpaceDN w:val="0"/>
        <w:adjustRightInd w:val="0"/>
        <w:spacing w:before="120" w:after="120" w:line="240" w:lineRule="auto"/>
        <w:rPr>
          <w:rFonts w:cs="Candara"/>
        </w:rPr>
      </w:pPr>
      <w:r w:rsidRPr="007223FB">
        <w:rPr>
          <w:rFonts w:cs="Candara"/>
        </w:rPr>
        <w:t>El reto más importante para el INE para el tercer cuatrimestre del 2019, es poder plantear Resultados Institucionales que cumplan con los criterios de la Gestión por Resultados.</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 xml:space="preserve">Instituto Guatemalteco de Turismo </w:t>
      </w:r>
      <w:r w:rsidR="009171FE" w:rsidRPr="007223FB">
        <w:rPr>
          <w:b/>
          <w:lang w:val="es-ES" w:eastAsia="es-GT"/>
        </w:rPr>
        <w:t>–INGUAT-</w:t>
      </w:r>
      <w:r w:rsidRPr="007223FB">
        <w:rPr>
          <w:b/>
          <w:lang w:val="es-ES" w:eastAsia="es-GT"/>
        </w:rPr>
        <w:t xml:space="preserve"> </w:t>
      </w:r>
    </w:p>
    <w:p w:rsidR="00CC09A0" w:rsidRPr="007223FB" w:rsidRDefault="00CC09A0" w:rsidP="001617C9">
      <w:pPr>
        <w:spacing w:before="120" w:after="120" w:line="240" w:lineRule="auto"/>
        <w:rPr>
          <w:rFonts w:eastAsia="Calibri" w:cs="Arial"/>
          <w:lang w:val="es-MX"/>
        </w:rPr>
      </w:pPr>
      <w:r w:rsidRPr="007223FB">
        <w:rPr>
          <w:rFonts w:eastAsia="Calibri" w:cs="Arial"/>
          <w:lang w:val="es-MX"/>
        </w:rPr>
        <w:t>El resultado institucional “Para el 2022 el ingreso de divisas ha incrementado en 3.4 porciento como producto de la inversión en acciones de mercadeo, campañas nacionales, campañas internacionales, viajes de familia y prensa, ferias, caravanas, folletería y delegaciones”, está integrado por dos productos: 1) Promoción del destino turístico, con meta inicial de 144, vigente de 143, avance físico de 49 y un 34.27% de ejecución, acumulado de 58.81% que se alcanza sobre una meta reducida en el cuatrimestre, 2) Actividades de comercialización turística en beneficio de personas jurídicas e individuales, con meta inicial de 61, vigente de 57, avance físico de 11 y el 19.30% de ejecución, acumulado de 50.88%.</w:t>
      </w:r>
    </w:p>
    <w:p w:rsidR="00CC09A0" w:rsidRPr="007223FB" w:rsidRDefault="00CC09A0" w:rsidP="001617C9">
      <w:pPr>
        <w:spacing w:before="120" w:after="120" w:line="240" w:lineRule="auto"/>
        <w:rPr>
          <w:rFonts w:eastAsia="Calibri" w:cs="Arial"/>
          <w:lang w:val="es-MX"/>
        </w:rPr>
      </w:pPr>
      <w:r w:rsidRPr="007223FB">
        <w:rPr>
          <w:rFonts w:eastAsia="Calibri" w:cs="Arial"/>
          <w:lang w:val="es-MX"/>
        </w:rPr>
        <w:t xml:space="preserve">El resultado institucional “Para el 2022 se ha integrado 7 de las 10 tablas de la Cuenta Satélite de Turismo”, posee dos productos: 1) Personas jurídicas e individuales con información estadística y promocional turística, con meta inicial de 180, vigente de 201, avance físico de 79 y 39.30% de ejecución, acumulado de 68.16%. 2) Servicios de asistencia en seguridad a visitantes nacionales e internacionales, con meta inicial de  2,510, vigente de 2,483, avance físico de 380 que representa un 15.30% de ejecución, acumulado de 34.51%.   </w:t>
      </w:r>
    </w:p>
    <w:p w:rsidR="00CC09A0" w:rsidRPr="007223FB" w:rsidRDefault="00CC09A0" w:rsidP="001617C9">
      <w:pPr>
        <w:spacing w:before="120" w:after="120" w:line="240" w:lineRule="auto"/>
        <w:rPr>
          <w:rFonts w:eastAsia="Calibri" w:cs="Arial"/>
          <w:lang w:val="es-MX"/>
        </w:rPr>
      </w:pPr>
      <w:r w:rsidRPr="007223FB">
        <w:rPr>
          <w:rFonts w:eastAsia="Calibri" w:cs="Arial"/>
          <w:lang w:val="es-MX"/>
        </w:rPr>
        <w:t xml:space="preserve">Referente a la ejecución presupuestaria, el INGUAT cuenta con un presupuesto inicial de Q. </w:t>
      </w:r>
      <w:r w:rsidRPr="007223FB">
        <w:rPr>
          <w:rFonts w:cs="Arial-Bold"/>
          <w:bCs/>
        </w:rPr>
        <w:t>281.50</w:t>
      </w:r>
      <w:r w:rsidRPr="007223FB">
        <w:rPr>
          <w:rFonts w:eastAsia="Calibri" w:cs="Arial"/>
          <w:lang w:val="es-MX"/>
        </w:rPr>
        <w:t xml:space="preserve"> millones y un vigente de Q. </w:t>
      </w:r>
      <w:r w:rsidRPr="007223FB">
        <w:rPr>
          <w:rFonts w:cs="Arial-Bold"/>
          <w:bCs/>
        </w:rPr>
        <w:t>346.35</w:t>
      </w:r>
      <w:r w:rsidRPr="007223FB">
        <w:rPr>
          <w:rFonts w:eastAsia="Calibri" w:cs="Arial"/>
          <w:lang w:val="es-MX"/>
        </w:rPr>
        <w:t xml:space="preserve"> millones, del que ejecutó en el segundo cuatrimestre del 2019, el 39%, que en datos absolutos se traduce a Q. 135.06 millones y acumulado de 52.59%</w:t>
      </w:r>
    </w:p>
    <w:p w:rsidR="002A7644" w:rsidRPr="007223FB" w:rsidRDefault="002A7644"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Técnico de Capacitación y Productividad</w:t>
      </w:r>
      <w:r w:rsidR="009171FE" w:rsidRPr="007223FB">
        <w:rPr>
          <w:b/>
          <w:lang w:val="es-ES" w:eastAsia="es-GT"/>
        </w:rPr>
        <w:t xml:space="preserve"> –Intecap-</w:t>
      </w:r>
    </w:p>
    <w:p w:rsidR="003A18DA" w:rsidRPr="007223FB" w:rsidRDefault="003A18DA" w:rsidP="001617C9">
      <w:pPr>
        <w:autoSpaceDE w:val="0"/>
        <w:autoSpaceDN w:val="0"/>
        <w:adjustRightInd w:val="0"/>
        <w:spacing w:before="120" w:after="120" w:line="240" w:lineRule="auto"/>
        <w:rPr>
          <w:rFonts w:cs="Candara"/>
        </w:rPr>
      </w:pPr>
      <w:r w:rsidRPr="007223FB">
        <w:rPr>
          <w:rFonts w:cs="Candara"/>
        </w:rPr>
        <w:t xml:space="preserve">Instituto Técnico de Capacitación y Productividad (Intecap) es la institución técnica especializada en formación profesional, propicia al servicio de la Nación y con colaboración del sector privado para el desarrollo de los recursos humanos y el incremento de la productividad, colaborando con los planes de desarrollo del Gobierno en la consecución de las metas de formación y capacitación del capital humano. La institución al brindar servicios de formación y capacitación de la mano de obra y asesoría técnica a empresas contribuye con la Política Nacional de Empleo, que persigue </w:t>
      </w:r>
      <w:r w:rsidRPr="007223FB">
        <w:rPr>
          <w:rFonts w:cs="Candara"/>
        </w:rPr>
        <w:lastRenderedPageBreak/>
        <w:t>mejorar el nivel de vida de las familias guatemaltecas, creando condiciones que promuevan la generación de empleo seguro, decente y de calidad en Guatemala.</w:t>
      </w:r>
    </w:p>
    <w:p w:rsidR="003A18DA" w:rsidRPr="007223FB" w:rsidRDefault="003A18DA" w:rsidP="001617C9">
      <w:pPr>
        <w:autoSpaceDE w:val="0"/>
        <w:autoSpaceDN w:val="0"/>
        <w:adjustRightInd w:val="0"/>
        <w:spacing w:before="120" w:after="120" w:line="240" w:lineRule="auto"/>
        <w:rPr>
          <w:rFonts w:cs="Candara"/>
        </w:rPr>
      </w:pPr>
      <w:r w:rsidRPr="007223FB">
        <w:rPr>
          <w:rFonts w:cs="Candara"/>
        </w:rPr>
        <w:t xml:space="preserve">Intecap establece cuatro resultados institucionales con igual número de productos y subproductos: RI1 “Horas invertidas en la atención de empresas con Asistencia Técnica” el producto del mismo nombre con una meta vigente de 126,394 y un avance acumulado al segundo cuatrimestre de 62.37%,  RI2 “Personas atendidas con Certificación laboral” con un producto cuya meta inicial es de 4,264, misma que se mantuvo vigente al segundo cuatrimestre, muestran un avance de 27.23%, RI3 “Personas atendidas con Formación Ocupacional Certificable”, producto con una meta inicial de 36,655 personas que no tuvo ninguna modificación, un avance de 28.21% y el RI4 “Personas atendidas con capacitación no certificable” con un producto de igual nombre con meta inicial de 380,664 personas que se mantuvo vigente y un acumulado del 57.37% . En términos presupuestarios, el Intecap contó con un presupuesto inicial de Q765.71 millones, mismo que mantuvo vigente al segundo cuatrimestre 2019, del cual ha ejecutado Q322.82 millones que equivale a un 42.16%. </w:t>
      </w:r>
    </w:p>
    <w:p w:rsidR="002A7644" w:rsidRPr="007223FB" w:rsidRDefault="007747BC"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w:t>
      </w:r>
      <w:r w:rsidR="002A7644" w:rsidRPr="007223FB">
        <w:rPr>
          <w:b/>
          <w:lang w:val="es-ES" w:eastAsia="es-GT"/>
        </w:rPr>
        <w:t>to de Previsión Militar</w:t>
      </w:r>
    </w:p>
    <w:p w:rsidR="00A91ED0" w:rsidRPr="007223FB" w:rsidRDefault="00A91ED0" w:rsidP="001617C9">
      <w:pPr>
        <w:spacing w:before="120" w:after="120" w:line="240" w:lineRule="auto"/>
        <w:rPr>
          <w:rFonts w:cs="Candara"/>
        </w:rPr>
      </w:pPr>
      <w:r w:rsidRPr="007223FB">
        <w:rPr>
          <w:rFonts w:cs="Candara"/>
        </w:rPr>
        <w:t>El Instituto tiene por objeto atender en la entrega de prestaciones y los servicios de bienestar social a la población afiliada del ejército. El presupuesto vigente de IPM asciende a Q</w:t>
      </w:r>
      <w:r w:rsidRPr="007223FB">
        <w:rPr>
          <w:rFonts w:cs="Arial"/>
        </w:rPr>
        <w:t xml:space="preserve"> 280.18 </w:t>
      </w:r>
      <w:r w:rsidRPr="007223FB">
        <w:rPr>
          <w:rFonts w:cs="Candara"/>
        </w:rPr>
        <w:t xml:space="preserve">millones, y tiene una meta física de 15,100 personas, para el segundo cuatrimestre ejecuto el 31.36%, lo que equivale al acumulado de 56.28% en relación al presupuesto 2019. </w:t>
      </w:r>
    </w:p>
    <w:p w:rsidR="007747BC" w:rsidRPr="007223FB" w:rsidRDefault="007747BC" w:rsidP="000B07D9">
      <w:pPr>
        <w:pStyle w:val="Prrafodelista"/>
        <w:numPr>
          <w:ilvl w:val="0"/>
          <w:numId w:val="5"/>
        </w:numPr>
        <w:spacing w:before="120" w:after="120" w:line="240" w:lineRule="auto"/>
        <w:contextualSpacing w:val="0"/>
        <w:rPr>
          <w:b/>
          <w:lang w:val="es-ES" w:eastAsia="es-GT"/>
        </w:rPr>
      </w:pPr>
      <w:r w:rsidRPr="007223FB">
        <w:rPr>
          <w:b/>
          <w:lang w:val="es-ES" w:eastAsia="es-GT"/>
        </w:rPr>
        <w:t>Superintendencia de Administración Tributaria</w:t>
      </w:r>
      <w:r w:rsidR="003506C3" w:rsidRPr="007223FB">
        <w:rPr>
          <w:b/>
          <w:lang w:val="es-ES" w:eastAsia="es-GT"/>
        </w:rPr>
        <w:t xml:space="preserve"> –SAT- </w:t>
      </w:r>
    </w:p>
    <w:p w:rsidR="003506C3" w:rsidRPr="007223FB" w:rsidRDefault="003506C3" w:rsidP="001617C9">
      <w:pPr>
        <w:spacing w:before="120" w:after="120" w:line="240" w:lineRule="auto"/>
        <w:rPr>
          <w:lang w:eastAsia="es-GT"/>
        </w:rPr>
      </w:pPr>
      <w:r w:rsidRPr="007223FB">
        <w:rPr>
          <w:lang w:val="es-ES" w:eastAsia="es-GT"/>
        </w:rPr>
        <w:t xml:space="preserve">La Superintendencia de Administración Tributaría </w:t>
      </w:r>
      <w:r w:rsidRPr="007223FB">
        <w:rPr>
          <w:lang w:eastAsia="es-GT"/>
        </w:rPr>
        <w:t>no presento información de avance al segundo cuatrimestral.</w:t>
      </w:r>
    </w:p>
    <w:p w:rsidR="00736843" w:rsidRPr="007223FB" w:rsidRDefault="00736843" w:rsidP="000B07D9">
      <w:pPr>
        <w:pStyle w:val="Prrafodelista"/>
        <w:numPr>
          <w:ilvl w:val="0"/>
          <w:numId w:val="5"/>
        </w:numPr>
        <w:spacing w:before="120" w:after="120" w:line="240" w:lineRule="auto"/>
        <w:contextualSpacing w:val="0"/>
        <w:rPr>
          <w:bCs/>
        </w:rPr>
      </w:pPr>
      <w:r w:rsidRPr="007223FB">
        <w:rPr>
          <w:b/>
        </w:rPr>
        <w:t>Zona Libre de Industria y Comercio Santo Tomas de Castilla –ZOLIC</w:t>
      </w:r>
    </w:p>
    <w:p w:rsidR="00857BB8" w:rsidRPr="007223FB" w:rsidRDefault="00722524" w:rsidP="001617C9">
      <w:pPr>
        <w:spacing w:before="120" w:after="120" w:line="240" w:lineRule="auto"/>
        <w:rPr>
          <w:rFonts w:cs="Candara"/>
        </w:rPr>
      </w:pPr>
      <w:r w:rsidRPr="007223FB">
        <w:rPr>
          <w:bCs/>
        </w:rPr>
        <w:t>La</w:t>
      </w:r>
      <w:r w:rsidR="00857BB8" w:rsidRPr="007223FB">
        <w:rPr>
          <w:b/>
        </w:rPr>
        <w:t xml:space="preserve"> </w:t>
      </w:r>
      <w:r w:rsidR="00857BB8" w:rsidRPr="007223FB">
        <w:t>Zona Libre de Industria y Comercio Santo Tomas de Castilla –ZOLIC</w:t>
      </w:r>
      <w:r w:rsidR="00857BB8" w:rsidRPr="007223FB">
        <w:rPr>
          <w:b/>
        </w:rPr>
        <w:t>-</w:t>
      </w:r>
      <w:r w:rsidR="00857BB8" w:rsidRPr="007223FB">
        <w:t xml:space="preserve"> es de carácter estatal descentralizada y autónoma, como lo indica su Ley Orgánica, impulsa el desarrollo regional; como centro logístico de operaciones del comercio internacional en la costa atlántica, la promoción del desarrollo industrial y comercial del país. </w:t>
      </w:r>
      <w:r w:rsidR="00857BB8" w:rsidRPr="007223FB">
        <w:rPr>
          <w:rFonts w:cstheme="minorHAnsi"/>
        </w:rPr>
        <w:t xml:space="preserve">Al 02 de septiembre del ejercicio fiscal 2019, registró en SIPLAN un Resultado Institucional: a) </w:t>
      </w:r>
      <w:r w:rsidR="00857BB8" w:rsidRPr="007223FB">
        <w:rPr>
          <w:rFonts w:cs="Courier"/>
          <w:bCs/>
        </w:rPr>
        <w:t xml:space="preserve">Impulsar el desarrollo económico industrial y de servicios a nivel nacional que permita la generación de empleo y la participación en el comercio internacional en el periodo 2018-2022, con un producto: </w:t>
      </w:r>
      <w:r w:rsidR="00857BB8" w:rsidRPr="007223FB">
        <w:rPr>
          <w:rFonts w:cstheme="minorHAnsi"/>
        </w:rPr>
        <w:t>1.</w:t>
      </w:r>
      <w:r w:rsidR="00857BB8" w:rsidRPr="007223FB">
        <w:rPr>
          <w:rFonts w:cs="Arial"/>
        </w:rPr>
        <w:t xml:space="preserve"> Personas individuales y jurídicas beneficiadas con arrendamiento de bienes inmuebles</w:t>
      </w:r>
      <w:r w:rsidR="00857BB8" w:rsidRPr="007223FB">
        <w:rPr>
          <w:rFonts w:cstheme="minorHAnsi"/>
        </w:rPr>
        <w:t xml:space="preserve">, con una meta vigente de 54 personas, con un avance de ejecución de 33.33% y un avance de ejecución acumulado (enero-agosto) de 64.61%. Al 05 de septiembre del ejercicio fiscal 2019, SICOIN registra un presupuesto inicial de </w:t>
      </w:r>
      <w:r w:rsidR="00857BB8" w:rsidRPr="007223FB">
        <w:rPr>
          <w:rFonts w:cstheme="minorHAnsi"/>
          <w:color w:val="000000" w:themeColor="text1"/>
        </w:rPr>
        <w:t>Q</w:t>
      </w:r>
      <w:r w:rsidR="00857BB8" w:rsidRPr="007223FB">
        <w:rPr>
          <w:rFonts w:cs="Arial-Bold"/>
          <w:bCs/>
        </w:rPr>
        <w:t xml:space="preserve"> 30.62 </w:t>
      </w:r>
      <w:r w:rsidR="00857BB8" w:rsidRPr="007223FB">
        <w:rPr>
          <w:rFonts w:cstheme="minorHAnsi"/>
        </w:rPr>
        <w:t>millones, sin modificaciones, con un avance de ejecución de Q 8.13</w:t>
      </w:r>
      <w:r w:rsidR="00857BB8" w:rsidRPr="007223FB">
        <w:rPr>
          <w:rFonts w:cs="Arial-Bold"/>
          <w:bCs/>
        </w:rPr>
        <w:t xml:space="preserve"> </w:t>
      </w:r>
      <w:r w:rsidR="00857BB8" w:rsidRPr="007223FB">
        <w:rPr>
          <w:rFonts w:cstheme="minorHAnsi"/>
        </w:rPr>
        <w:t xml:space="preserve">millones que equivalen </w:t>
      </w:r>
      <w:r w:rsidRPr="007223FB">
        <w:rPr>
          <w:rFonts w:cstheme="minorHAnsi"/>
        </w:rPr>
        <w:t>a 26.56</w:t>
      </w:r>
      <w:r w:rsidR="00857BB8" w:rsidRPr="007223FB">
        <w:rPr>
          <w:rFonts w:cstheme="minorHAnsi"/>
        </w:rPr>
        <w:t>%.</w:t>
      </w:r>
      <w:r w:rsidR="00857BB8" w:rsidRPr="007223FB">
        <w:rPr>
          <w:rFonts w:cs="Candara"/>
          <w:color w:val="000000" w:themeColor="text1"/>
        </w:rPr>
        <w:t xml:space="preserve"> En el acumulado (enero-agosto) ha ejecutado Q</w:t>
      </w:r>
      <w:r w:rsidR="00857BB8" w:rsidRPr="007223FB">
        <w:rPr>
          <w:rFonts w:cs="Arial-Bold"/>
          <w:bCs/>
        </w:rPr>
        <w:t xml:space="preserve"> 16.06 </w:t>
      </w:r>
      <w:r w:rsidR="00857BB8" w:rsidRPr="007223FB">
        <w:rPr>
          <w:rFonts w:cs="Candara"/>
          <w:color w:val="000000" w:themeColor="text1"/>
        </w:rPr>
        <w:t>millones equivalente a un 52.44%, superando el 50% de ejecución.</w:t>
      </w:r>
    </w:p>
    <w:p w:rsidR="00A77F4A" w:rsidRPr="007223FB" w:rsidRDefault="001617C9" w:rsidP="001617C9">
      <w:pPr>
        <w:pStyle w:val="Ttulo2"/>
        <w:numPr>
          <w:ilvl w:val="0"/>
          <w:numId w:val="0"/>
        </w:numPr>
        <w:spacing w:before="120" w:after="120" w:line="240" w:lineRule="auto"/>
        <w:ind w:left="936" w:hanging="576"/>
        <w:rPr>
          <w:szCs w:val="22"/>
          <w:lang w:val="es-ES"/>
        </w:rPr>
      </w:pPr>
      <w:bookmarkStart w:id="120" w:name="_Toc19527454"/>
      <w:r>
        <w:rPr>
          <w:szCs w:val="22"/>
          <w:lang w:val="es-ES"/>
        </w:rPr>
        <w:t>5.4</w:t>
      </w:r>
      <w:r>
        <w:rPr>
          <w:szCs w:val="22"/>
          <w:lang w:val="es-ES"/>
        </w:rPr>
        <w:tab/>
      </w:r>
      <w:r w:rsidR="00A77F4A" w:rsidRPr="007223FB">
        <w:rPr>
          <w:szCs w:val="22"/>
          <w:lang w:val="es-ES"/>
        </w:rPr>
        <w:t xml:space="preserve">Entidades </w:t>
      </w:r>
      <w:r w:rsidR="002A7644" w:rsidRPr="007223FB">
        <w:rPr>
          <w:szCs w:val="22"/>
          <w:lang w:val="es-ES"/>
        </w:rPr>
        <w:t>Autónomas</w:t>
      </w:r>
      <w:bookmarkEnd w:id="120"/>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Academia de las Lenguas Mayas de Guatemala</w:t>
      </w:r>
      <w:r w:rsidR="00736843" w:rsidRPr="007223FB">
        <w:rPr>
          <w:b/>
          <w:lang w:val="es-ES" w:eastAsia="es-GT"/>
        </w:rPr>
        <w:t xml:space="preserve"> –ALMG-</w:t>
      </w:r>
    </w:p>
    <w:p w:rsidR="007C1F33" w:rsidRPr="007223FB" w:rsidRDefault="007C1F33" w:rsidP="001617C9">
      <w:pPr>
        <w:autoSpaceDE w:val="0"/>
        <w:autoSpaceDN w:val="0"/>
        <w:adjustRightInd w:val="0"/>
        <w:spacing w:before="120" w:after="120" w:line="240" w:lineRule="auto"/>
        <w:rPr>
          <w:rFonts w:cs="Candara"/>
        </w:rPr>
      </w:pPr>
      <w:r w:rsidRPr="007223FB">
        <w:rPr>
          <w:rFonts w:cs="Candara"/>
        </w:rPr>
        <w:t xml:space="preserve">La Academia de Lenguas Mayas de Guatemala (ALMG) define su resultado institucional “Para el 2024 se ha incrementado en 43,840 personas el desarrollo de las habilidades lingüísticas en los idiomas mayas” para el cual vinculan productos relacionados a la atención de personas en formación y actualización en lingüística maya; registran el producto de atención a 995 personas con 39.70% de avance al segundo cuatrimestre 2019.  La Academia tiene por finalidad promover el conocimiento y la difusión de las lenguas Mayas e investigar, planificar, programar y ejecutar </w:t>
      </w:r>
      <w:r w:rsidRPr="007223FB">
        <w:rPr>
          <w:rFonts w:cs="Candara"/>
        </w:rPr>
        <w:lastRenderedPageBreak/>
        <w:t xml:space="preserve">actividades lingüísticas, literarias, educativas, culturales, dar orientación y servicios sobre la materia. En el contexto presupuestario sobre la base de un presupuesto vigente de Q32 millones, ha realizado una ejecución de Q10.99 millones equivalentes al 27.89% de mayo a agosto, y un acumulado de Q16.74 millones equivalentes a 42.49% en lo que va del año.  </w:t>
      </w:r>
    </w:p>
    <w:p w:rsidR="00736843" w:rsidRPr="007223FB" w:rsidRDefault="00736843" w:rsidP="000B07D9">
      <w:pPr>
        <w:pStyle w:val="Prrafodelista"/>
        <w:numPr>
          <w:ilvl w:val="0"/>
          <w:numId w:val="5"/>
        </w:numPr>
        <w:spacing w:before="120" w:after="120" w:line="240" w:lineRule="auto"/>
        <w:contextualSpacing w:val="0"/>
        <w:rPr>
          <w:lang w:val="es-ES" w:eastAsia="es-GT"/>
        </w:rPr>
      </w:pPr>
      <w:r w:rsidRPr="007223FB">
        <w:rPr>
          <w:b/>
        </w:rPr>
        <w:t>Agencia Nacional de Alianzas para el Desarrollo de Infraestructura Económica –ANADIE</w:t>
      </w:r>
    </w:p>
    <w:p w:rsidR="00857BB8" w:rsidRPr="007223FB" w:rsidRDefault="00722524" w:rsidP="001617C9">
      <w:pPr>
        <w:spacing w:before="120" w:after="120" w:line="240" w:lineRule="auto"/>
        <w:rPr>
          <w:rFonts w:cs="Candara"/>
          <w:color w:val="000000" w:themeColor="text1"/>
        </w:rPr>
      </w:pPr>
      <w:r w:rsidRPr="007223FB">
        <w:rPr>
          <w:bCs/>
        </w:rPr>
        <w:t>La</w:t>
      </w:r>
      <w:r w:rsidRPr="007223FB">
        <w:rPr>
          <w:b/>
        </w:rPr>
        <w:t xml:space="preserve"> </w:t>
      </w:r>
      <w:r w:rsidR="00857BB8" w:rsidRPr="007223FB">
        <w:t xml:space="preserve">Agencia Nacional de Alianzas para el Desarrollo de Infraestructura Económica –ANADIE- </w:t>
      </w:r>
      <w:r w:rsidR="00857BB8" w:rsidRPr="007223FB">
        <w:rPr>
          <w:rFonts w:cs="Aleo-Regular"/>
        </w:rPr>
        <w:t xml:space="preserve">tiene como objeto, establecer el marco normativo para la celebración y ejecución de contratos de alianzas para el desarrollo de infraestructura económica, según su Ley Orgánica. </w:t>
      </w:r>
      <w:r w:rsidR="00857BB8" w:rsidRPr="007223FB">
        <w:t xml:space="preserve">Constituye un sistema de alianza público privado a fin de lograr obras de infraestructura económica y obtener beneficios mutuos, para este tipo de inversiones se analiza prioridades en las conveniencias del país. Al 5 de septiembre del ejercicio fiscal 2019, registró en SIPLAN dos productos: 1. Gastos para la estructuración de proyectos APP, con una meta vigente de 6 Documentos; presenta un avance de ejecución de 16.67%. 2. Estudios de proyectos de prefactibilidad y factibilidad, con una meta vigente de 5 documentos; este producto no reflejó ningún avance de ejecución. </w:t>
      </w:r>
      <w:r w:rsidR="00857BB8" w:rsidRPr="007223FB">
        <w:rPr>
          <w:color w:val="000000" w:themeColor="text1"/>
        </w:rPr>
        <w:t xml:space="preserve">Es necesario resaltar que los estudios pueden dar cumplimiento a la meta en la medida en que se encuentren debidamente finalizados. </w:t>
      </w:r>
      <w:r w:rsidR="00857BB8" w:rsidRPr="007223FB">
        <w:rPr>
          <w:rFonts w:cstheme="minorHAnsi"/>
        </w:rPr>
        <w:t xml:space="preserve">Al 05 de septiembre del ejercicio fiscal 2019, con base a registros de SICOIN presenta un presupuesto inicial de </w:t>
      </w:r>
      <w:r w:rsidR="00857BB8" w:rsidRPr="007223FB">
        <w:rPr>
          <w:rFonts w:cstheme="minorHAnsi"/>
          <w:color w:val="000000" w:themeColor="text1"/>
        </w:rPr>
        <w:t>Q</w:t>
      </w:r>
      <w:r w:rsidR="00857BB8" w:rsidRPr="007223FB">
        <w:rPr>
          <w:rFonts w:cs="Arial-Bold"/>
          <w:bCs/>
        </w:rPr>
        <w:t xml:space="preserve"> 20.10 </w:t>
      </w:r>
      <w:r w:rsidR="00857BB8" w:rsidRPr="007223FB">
        <w:rPr>
          <w:rFonts w:cstheme="minorHAnsi"/>
        </w:rPr>
        <w:t>millones, sin modificaciones, con una ejecución de Q 3.81</w:t>
      </w:r>
      <w:r w:rsidR="00857BB8" w:rsidRPr="007223FB">
        <w:rPr>
          <w:rFonts w:cs="Arial-Bold"/>
          <w:bCs/>
        </w:rPr>
        <w:t xml:space="preserve"> </w:t>
      </w:r>
      <w:r w:rsidR="00857BB8" w:rsidRPr="007223FB">
        <w:rPr>
          <w:rFonts w:cstheme="minorHAnsi"/>
        </w:rPr>
        <w:t xml:space="preserve">millones que equivalen a 18.94%; que no supera el 20% de ejecución en el segundo cuatrimestre. Con relación al acumulado (enero-agosto), </w:t>
      </w:r>
      <w:r w:rsidR="00857BB8" w:rsidRPr="007223FB">
        <w:rPr>
          <w:rFonts w:cs="Candara"/>
          <w:color w:val="000000" w:themeColor="text1"/>
        </w:rPr>
        <w:t>ha ejecutado Q</w:t>
      </w:r>
      <w:r w:rsidR="00857BB8" w:rsidRPr="007223FB">
        <w:rPr>
          <w:rFonts w:cs="Arial-Bold"/>
          <w:bCs/>
        </w:rPr>
        <w:t xml:space="preserve"> 6.48 </w:t>
      </w:r>
      <w:r w:rsidR="00857BB8" w:rsidRPr="007223FB">
        <w:rPr>
          <w:rFonts w:cs="Candara"/>
          <w:color w:val="000000" w:themeColor="text1"/>
        </w:rPr>
        <w:t xml:space="preserve">millones equivalente a un 32.22%, cabe resaltar que su ejecución no supera el 50%. </w:t>
      </w:r>
    </w:p>
    <w:p w:rsidR="00736843" w:rsidRPr="007223FB" w:rsidRDefault="00736843" w:rsidP="000B07D9">
      <w:pPr>
        <w:pStyle w:val="Prrafodelista"/>
        <w:numPr>
          <w:ilvl w:val="0"/>
          <w:numId w:val="5"/>
        </w:numPr>
        <w:spacing w:before="120" w:after="120" w:line="240" w:lineRule="auto"/>
        <w:contextualSpacing w:val="0"/>
        <w:rPr>
          <w:lang w:val="es-ES" w:eastAsia="es-GT"/>
        </w:rPr>
      </w:pPr>
      <w:r w:rsidRPr="007223FB">
        <w:rPr>
          <w:b/>
          <w:lang w:val="es-MX"/>
        </w:rPr>
        <w:t>Benemérito Cuerpo Voluntario de Bomberos de Guatemala –CVB-</w:t>
      </w:r>
    </w:p>
    <w:p w:rsidR="008E34B2" w:rsidRPr="007223FB" w:rsidRDefault="008E34B2" w:rsidP="001617C9">
      <w:pPr>
        <w:autoSpaceDE w:val="0"/>
        <w:autoSpaceDN w:val="0"/>
        <w:adjustRightInd w:val="0"/>
        <w:spacing w:before="120" w:after="120" w:line="240" w:lineRule="auto"/>
        <w:rPr>
          <w:lang w:val="es-MX"/>
        </w:rPr>
      </w:pPr>
      <w:r w:rsidRPr="007223FB">
        <w:rPr>
          <w:lang w:val="es-MX"/>
        </w:rPr>
        <w:t xml:space="preserve">El Benemérito Cuerpo Voluntario de Bomberos de Guatemala (CVB), resume la planificación y control de su quehacer institucional en un resultado institucional, el cual se define como  “Incrementar la cobertura a nivel nacional de los servicios de emergencia proporcionados a la población” que presenta como producto principal los Servicios de Emergencia Proporcionados a la Población, registrando un avance financiero en el segundo cuatrimestre de 57.97% (Q. 34.34 millones) y un avance físico de 66.67% equivalentes en realizar 528,360 eventos de atenciones paramédicas en emergencias.  </w:t>
      </w:r>
    </w:p>
    <w:p w:rsidR="008E34B2" w:rsidRPr="007223FB" w:rsidRDefault="008E34B2" w:rsidP="001617C9">
      <w:pPr>
        <w:spacing w:before="120" w:after="120" w:line="240" w:lineRule="auto"/>
        <w:rPr>
          <w:lang w:val="es-ES" w:eastAsia="es-GT"/>
        </w:rPr>
      </w:pPr>
      <w:r w:rsidRPr="007223FB">
        <w:rPr>
          <w:lang w:val="es-ES" w:eastAsia="es-GT"/>
        </w:rPr>
        <w:t>En cuanto a la ejecución presupuestaria, el CVB presenta una ejecución de 54.66% (Q. 62.97 millones) en donde se tiene un saldo de ejecución para el tercer cuatrimestre de Q.52.22 millones, por lo cual es importante mejorar la eficiencia en la entrega del servicio del CVB, para cumplir con la calidad en la ejecución del gasto y la programación realizada.</w:t>
      </w:r>
    </w:p>
    <w:p w:rsidR="008E34B2" w:rsidRPr="007223FB" w:rsidRDefault="008E34B2" w:rsidP="001617C9">
      <w:pPr>
        <w:spacing w:before="120" w:after="120" w:line="240" w:lineRule="auto"/>
        <w:rPr>
          <w:lang w:val="es-ES" w:eastAsia="es-GT"/>
        </w:rPr>
      </w:pPr>
      <w:r w:rsidRPr="007223FB">
        <w:rPr>
          <w:lang w:val="es-ES" w:eastAsia="es-GT"/>
        </w:rPr>
        <w:t xml:space="preserve">Como desafío, el CVB tiene que mejorar la entrega del bien y servicio que presta, por medio de fortalecer su capacidad de respuesta y disponer de mejores condiciones para la atención a emergencias, dado que no se ve reflejado en los indicadores de desempeño de la institución.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Corte de Constitucionalidad</w:t>
      </w:r>
      <w:r w:rsidR="00736843" w:rsidRPr="007223FB">
        <w:rPr>
          <w:b/>
          <w:lang w:val="es-ES" w:eastAsia="es-GT"/>
        </w:rPr>
        <w:t xml:space="preserve"> –CC-</w:t>
      </w:r>
    </w:p>
    <w:p w:rsidR="003A18DA" w:rsidRPr="007223FB" w:rsidRDefault="003A18DA" w:rsidP="001617C9">
      <w:pPr>
        <w:autoSpaceDE w:val="0"/>
        <w:autoSpaceDN w:val="0"/>
        <w:adjustRightInd w:val="0"/>
        <w:spacing w:before="120" w:after="120" w:line="240" w:lineRule="auto"/>
        <w:rPr>
          <w:rFonts w:cs="Candara"/>
        </w:rPr>
      </w:pPr>
      <w:r w:rsidRPr="007223FB">
        <w:rPr>
          <w:rFonts w:cs="Candara"/>
        </w:rPr>
        <w:t xml:space="preserve">La Corte de Constitucionalidad (CC) como tribunal permanente, es el encargado de ejercer las funciones esenciales de defensa y restablecimiento del orden constitucional y del estado constitucional de derecho. La CC ha registrado un solo Resultado Institucional “Al 2022, la Corte de Constitucionalidad habrá incrementado en 20 puntos porcentuales con respecto al 2017, la resolución de los diversos procesos constitucionales que conoce en el marco de su competencia”, para el cual vincula dos productos: 1) Resoluciones definitivas con una meta inicial de 6,050, la cual se mantuvo vigente al segundo cuatrimestre 20019, alcanzando un avance acumulado de 65.45% que equivale a 3,960 documentos, y 2) Informes de ejecución presupuestaria con una meta inicial de 12 documentos, mostrando un acumulado de 66.67% de ejecución respectivamente. En el </w:t>
      </w:r>
      <w:r w:rsidRPr="007223FB">
        <w:rPr>
          <w:rFonts w:cs="Candara"/>
        </w:rPr>
        <w:lastRenderedPageBreak/>
        <w:t xml:space="preserve">contexto presupuestario, el presupuesto vigente de la Corte de Constitucionalidad es de Q 143.30 millones, mismo que se mantiene vigente, del cual ha ejecutado al segundo cuatrimestre 2019 Q69.88 millones que equivale a un 48.76%. </w:t>
      </w:r>
    </w:p>
    <w:p w:rsidR="00736843" w:rsidRPr="007223FB" w:rsidRDefault="00736843" w:rsidP="000B07D9">
      <w:pPr>
        <w:pStyle w:val="Prrafodelista"/>
        <w:numPr>
          <w:ilvl w:val="0"/>
          <w:numId w:val="5"/>
        </w:numPr>
        <w:spacing w:before="120" w:after="120" w:line="240" w:lineRule="auto"/>
        <w:contextualSpacing w:val="0"/>
        <w:rPr>
          <w:lang w:eastAsia="es-GT"/>
        </w:rPr>
      </w:pPr>
      <w:r w:rsidRPr="007223FB">
        <w:rPr>
          <w:b/>
          <w:lang w:eastAsia="es-GT"/>
        </w:rPr>
        <w:t>Oficina Nacional de Prevención de la Tortura –CCT-</w:t>
      </w:r>
    </w:p>
    <w:p w:rsidR="000E4825" w:rsidRPr="007223FB" w:rsidRDefault="000E4825" w:rsidP="001617C9">
      <w:pPr>
        <w:spacing w:before="120" w:after="120" w:line="240" w:lineRule="auto"/>
        <w:rPr>
          <w:lang w:eastAsia="es-GT"/>
        </w:rPr>
      </w:pPr>
      <w:r w:rsidRPr="007223FB">
        <w:rPr>
          <w:lang w:eastAsia="es-GT"/>
        </w:rPr>
        <w:t>La Oficina Nacional de Prevención de la Tortura cuenta con un presupuesto vigente de Q 8.00 millones, de los cuales este cuatrimestre ejecuto Q 2.8 millones, equivalentes a 35.29%.  El monto restante a ejecutar es de Q 4.1 millones.</w:t>
      </w:r>
      <w:r w:rsidR="00A12964" w:rsidRPr="007223FB">
        <w:rPr>
          <w:lang w:eastAsia="es-GT"/>
        </w:rPr>
        <w:t xml:space="preserve"> </w:t>
      </w:r>
    </w:p>
    <w:p w:rsidR="00A12964" w:rsidRPr="007223FB" w:rsidRDefault="00A12964" w:rsidP="001617C9">
      <w:pPr>
        <w:spacing w:before="120" w:after="120" w:line="240" w:lineRule="auto"/>
        <w:rPr>
          <w:lang w:eastAsia="es-GT"/>
        </w:rPr>
      </w:pPr>
      <w:r w:rsidRPr="007223FB">
        <w:rPr>
          <w:lang w:eastAsia="es-GT"/>
        </w:rPr>
        <w:t>Desafío</w:t>
      </w:r>
    </w:p>
    <w:p w:rsidR="00A12964" w:rsidRPr="007223FB" w:rsidRDefault="00A12964" w:rsidP="001617C9">
      <w:pPr>
        <w:spacing w:before="120" w:after="120" w:line="240" w:lineRule="auto"/>
        <w:rPr>
          <w:lang w:eastAsia="es-GT"/>
        </w:rPr>
      </w:pPr>
      <w:r w:rsidRPr="007223FB">
        <w:rPr>
          <w:lang w:eastAsia="es-GT"/>
        </w:rPr>
        <w:t xml:space="preserve">La información presentada no utiliza el Sistema Oficial de </w:t>
      </w:r>
      <w:r w:rsidR="00736843" w:rsidRPr="007223FB">
        <w:rPr>
          <w:lang w:eastAsia="es-GT"/>
        </w:rPr>
        <w:t>Planes.</w:t>
      </w:r>
    </w:p>
    <w:p w:rsidR="00736843" w:rsidRPr="007223FB" w:rsidRDefault="008E34B2" w:rsidP="000B07D9">
      <w:pPr>
        <w:pStyle w:val="Prrafodelista"/>
        <w:numPr>
          <w:ilvl w:val="0"/>
          <w:numId w:val="5"/>
        </w:numPr>
        <w:spacing w:before="120" w:after="120" w:line="240" w:lineRule="auto"/>
        <w:contextualSpacing w:val="0"/>
        <w:rPr>
          <w:b/>
          <w:lang w:val="es-ES" w:eastAsia="es-GT"/>
        </w:rPr>
      </w:pPr>
      <w:r w:rsidRPr="007223FB">
        <w:rPr>
          <w:b/>
          <w:lang w:val="es-ES" w:eastAsia="es-GT"/>
        </w:rPr>
        <w:t xml:space="preserve">La Comisión Nacional de Energía Eléctrica –CNEE- </w:t>
      </w:r>
    </w:p>
    <w:p w:rsidR="008E34B2" w:rsidRPr="007223FB" w:rsidRDefault="00736843" w:rsidP="001617C9">
      <w:pPr>
        <w:spacing w:before="120" w:after="120" w:line="240" w:lineRule="auto"/>
        <w:rPr>
          <w:lang w:val="es-ES" w:eastAsia="es-GT"/>
        </w:rPr>
      </w:pPr>
      <w:r w:rsidRPr="007223FB">
        <w:rPr>
          <w:lang w:val="es-ES" w:eastAsia="es-GT"/>
        </w:rPr>
        <w:t xml:space="preserve">La Comisión Nacional de Energía Eléctrica –CNEE- </w:t>
      </w:r>
      <w:r w:rsidR="008E34B2" w:rsidRPr="007223FB">
        <w:rPr>
          <w:lang w:val="es-ES" w:eastAsia="es-GT"/>
        </w:rPr>
        <w:t>es el órgano técnico del Ministerio de Energía y Minas, que fue creado con el objeto principal de cumplir y hacer cumplir la Ley General de Electricidad</w:t>
      </w:r>
      <w:r w:rsidRPr="007223FB">
        <w:rPr>
          <w:lang w:val="es-ES" w:eastAsia="es-GT"/>
        </w:rPr>
        <w:t>, en</w:t>
      </w:r>
      <w:r w:rsidR="008E34B2" w:rsidRPr="007223FB">
        <w:rPr>
          <w:lang w:val="es-ES" w:eastAsia="es-GT"/>
        </w:rPr>
        <w:t xml:space="preserve"> materia de su competencia. </w:t>
      </w:r>
    </w:p>
    <w:p w:rsidR="008E34B2" w:rsidRPr="007223FB" w:rsidRDefault="008E34B2" w:rsidP="001617C9">
      <w:pPr>
        <w:spacing w:before="120" w:after="120" w:line="240" w:lineRule="auto"/>
        <w:rPr>
          <w:lang w:val="es-ES" w:eastAsia="es-GT"/>
        </w:rPr>
      </w:pPr>
      <w:r w:rsidRPr="007223FB">
        <w:rPr>
          <w:lang w:val="es-ES" w:eastAsia="es-GT"/>
        </w:rPr>
        <w:t xml:space="preserve">La CNEE ha formulado para el 2019 tres Resultados Institucionales, el primero “Para el 2024 mantener la emisión de pliegos tarifarios de conformidad con el marco legal vigente en el periodo comprendido de los años 2019 al 2024” el cual presenta como producto principal, la emisión de pliegos tarifarios, que al segundo cuatrimestre se cuenta con un avance financiero de 54.80% (Q. 5.12 millones) que representa la emisión de seis pliegos tarifarios. Así mismo La Comisión publica la encuesta anual de la calidad del servicio de energía eléctrica, la cual permite medir la percepción de los usuarios de la calidad del servicio; por ser un informe de carácter anual, aún no se cuenta con avance físico, sin embargo si presenta un avance financiero del  46.48% (Q. 4.60 millones). </w:t>
      </w:r>
    </w:p>
    <w:p w:rsidR="008E34B2" w:rsidRPr="007223FB" w:rsidRDefault="008E34B2" w:rsidP="001617C9">
      <w:pPr>
        <w:spacing w:before="120" w:after="120" w:line="240" w:lineRule="auto"/>
        <w:rPr>
          <w:lang w:val="es-ES" w:eastAsia="es-GT"/>
        </w:rPr>
      </w:pPr>
      <w:r w:rsidRPr="007223FB">
        <w:rPr>
          <w:lang w:val="es-ES" w:eastAsia="es-GT"/>
        </w:rPr>
        <w:t>En cuanto a la ejecución presupuestaria, la CNEE presenta una ejecución de 44.84% (Q. 23.63 millones) en donde se tiene una brecha de ejecución para el tercer cuatrimestre de Q.29.07 millones, por lo cual es importante mejorar la eficiencia de la entrega de los productos del CNEE, para cumplir con la calidad en la ejecución del gasto y la programación realizada.</w:t>
      </w:r>
    </w:p>
    <w:p w:rsidR="00921A25" w:rsidRPr="007223FB" w:rsidRDefault="00921A25" w:rsidP="000B07D9">
      <w:pPr>
        <w:pStyle w:val="Prrafodelista"/>
        <w:numPr>
          <w:ilvl w:val="0"/>
          <w:numId w:val="5"/>
        </w:numPr>
        <w:autoSpaceDE w:val="0"/>
        <w:autoSpaceDN w:val="0"/>
        <w:adjustRightInd w:val="0"/>
        <w:spacing w:before="120" w:after="120" w:line="240" w:lineRule="auto"/>
        <w:contextualSpacing w:val="0"/>
        <w:rPr>
          <w:rFonts w:cs="Candara"/>
        </w:rPr>
      </w:pPr>
      <w:r w:rsidRPr="007223FB">
        <w:rPr>
          <w:rFonts w:eastAsiaTheme="majorEastAsia" w:cstheme="majorBidi"/>
          <w:b/>
          <w:iCs/>
        </w:rPr>
        <w:t>Consejo Económico y Social de Guatemala (CES)</w:t>
      </w:r>
      <w:r w:rsidRPr="007223FB">
        <w:rPr>
          <w:rFonts w:cs="Candara"/>
        </w:rPr>
        <w:t xml:space="preserve"> </w:t>
      </w:r>
    </w:p>
    <w:p w:rsidR="00921A25" w:rsidRPr="007223FB" w:rsidRDefault="00921A25" w:rsidP="001617C9">
      <w:pPr>
        <w:autoSpaceDE w:val="0"/>
        <w:autoSpaceDN w:val="0"/>
        <w:adjustRightInd w:val="0"/>
        <w:spacing w:before="120" w:after="120" w:line="240" w:lineRule="auto"/>
        <w:rPr>
          <w:rFonts w:cs="Candara"/>
        </w:rPr>
      </w:pPr>
      <w:r w:rsidRPr="007223FB">
        <w:rPr>
          <w:rFonts w:cs="Candara"/>
        </w:rPr>
        <w:t>Es el órgano consultivo permanente del Estado o de los Organismos del Estado. Es una entidad pública autónoma permanente de derecho público con personalidad jurídica, patrimonio y presupuesto propio. Este órgano se rige bajo su propia Ley Orgánica, Decreto 2-2012 del Congreso de la República. El Ces no ha implementado un proceso de planificación con enfoque en la gestión por resultados, lo que incide en un inadecuado planteamiento de resultados y productos institucionales. Plantea 4 resultados, 3 de ellos son de carácter interno, y uno, de manera parcial se dirige a la población que por mandato se debe atender, “Actas sobre temas o asuntos que deben ser sometidos a la Asamblea análisis de estudios ad hoc documento de informe anual capacitaciones para los sectores</w:t>
      </w:r>
      <w:r w:rsidRPr="007223FB">
        <w:rPr>
          <w:rFonts w:cs="Candara"/>
          <w:color w:val="FF0000"/>
        </w:rPr>
        <w:t xml:space="preserve"> </w:t>
      </w:r>
      <w:r w:rsidRPr="007223FB">
        <w:rPr>
          <w:rFonts w:cs="Candara"/>
          <w:color w:val="000000" w:themeColor="text1"/>
        </w:rPr>
        <w:t xml:space="preserve">productivos divulgación de opiniones y posiciones sobre política pública a nivel nacional e internacional”, del que se desprende 1 </w:t>
      </w:r>
      <w:r w:rsidRPr="007223FB">
        <w:rPr>
          <w:rFonts w:cs="Candara"/>
        </w:rPr>
        <w:t xml:space="preserve">producto, “Servicios de asistencia técnica y sectores productivos", con una meta inicial de 89, el cual no sufrió ninguna modificación, avance de 19 y 21.35% de ejecución, acumulado de 37 que representa el 41.57%. </w:t>
      </w:r>
    </w:p>
    <w:p w:rsidR="00921A25" w:rsidRPr="007223FB" w:rsidRDefault="00921A25" w:rsidP="001617C9">
      <w:pPr>
        <w:spacing w:before="120" w:after="120" w:line="240" w:lineRule="auto"/>
        <w:rPr>
          <w:lang w:val="es-ES" w:eastAsia="es-GT"/>
        </w:rPr>
      </w:pPr>
      <w:r w:rsidRPr="007223FB">
        <w:rPr>
          <w:rFonts w:cs="Candara"/>
        </w:rPr>
        <w:t xml:space="preserve">En cuanto al avance financiero en 2019, el CES refleja un presupuesto inicial de Q. 8.10 millones, no muestra ninguna modificación presupuestaria por lo que se </w:t>
      </w:r>
      <w:r w:rsidR="00FB277B" w:rsidRPr="007223FB">
        <w:rPr>
          <w:rFonts w:cs="Candara"/>
        </w:rPr>
        <w:t>mantiene vigente</w:t>
      </w:r>
      <w:r w:rsidRPr="007223FB">
        <w:rPr>
          <w:rFonts w:cs="Candara"/>
        </w:rPr>
        <w:t>, dentro del segundo cuatrimestre ejecuto Q 2.89 millones y 35.71% de ejecución, en lo acumulado Q. 5.41 millones, que equivale a un 66.85% de ejecución.</w:t>
      </w:r>
    </w:p>
    <w:p w:rsidR="009B30CD" w:rsidRDefault="009B30CD">
      <w:pPr>
        <w:jc w:val="left"/>
        <w:rPr>
          <w:b/>
          <w:lang w:val="es-ES" w:eastAsia="es-GT"/>
        </w:rPr>
      </w:pPr>
      <w:r>
        <w:rPr>
          <w:b/>
          <w:lang w:val="es-ES" w:eastAsia="es-GT"/>
        </w:rPr>
        <w:br w:type="page"/>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Contraloría General de Cuentas</w:t>
      </w:r>
      <w:r w:rsidR="00736843" w:rsidRPr="007223FB">
        <w:rPr>
          <w:b/>
          <w:lang w:val="es-ES" w:eastAsia="es-GT"/>
        </w:rPr>
        <w:t xml:space="preserve"> –CGC-</w:t>
      </w:r>
    </w:p>
    <w:p w:rsidR="003A18DA" w:rsidRPr="007223FB" w:rsidRDefault="003A18DA" w:rsidP="001617C9">
      <w:pPr>
        <w:autoSpaceDE w:val="0"/>
        <w:autoSpaceDN w:val="0"/>
        <w:adjustRightInd w:val="0"/>
        <w:spacing w:before="120" w:after="120" w:line="240" w:lineRule="auto"/>
        <w:rPr>
          <w:b/>
        </w:rPr>
      </w:pPr>
      <w:r w:rsidRPr="007223FB">
        <w:rPr>
          <w:rFonts w:cs="Candara"/>
        </w:rPr>
        <w:t xml:space="preserve">La Contraloría General de Cuentas (CGC) como ente técnico rector de la fiscalización y el control gubernamental definió dos resultados institucionales: RI1“Para el 2023 se han incrementado las fiscalizaciones a entes públicos en un 19% de 2,508 informes de </w:t>
      </w:r>
      <w:r w:rsidR="00736843" w:rsidRPr="007223FB">
        <w:rPr>
          <w:rFonts w:cs="Candara"/>
        </w:rPr>
        <w:t>auditoría</w:t>
      </w:r>
      <w:r w:rsidRPr="007223FB">
        <w:rPr>
          <w:rFonts w:cs="Candara"/>
        </w:rPr>
        <w:t xml:space="preserve"> en el 2015 a 2,995 en 2023” el cual vinculan un producto referente a Informes de fiscalización de entidades que administran recursos públicos el cual reporta 26.07% de avance al segundo cuatrimestre; y el RI2 “Para el 2023 se incrementa las capacidades de las personas en un 35.6% de 19,024 personas capacitadas en el 2017 a 25,791 personas capacitadas en el 2023”, el cual vincula un producto referente a Empleados públicos capacitados en temas de fiscalización que registra 54.41% de avance respectivamente. En el contexto presupuestario; para el segundo cuatrimestre de 2019, la CGC opera con un presupuesto vigente de Q573.59 millones de los cuales ejecutó en el segundo cuatrimestre Q192.99 millones que equivale a un 33.65%, y un acumulado de Q344.80 millones equivalentes a 60.11% en lo que va del año.</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Consejo Nacional de Adopciones</w:t>
      </w:r>
      <w:r w:rsidR="00F74603" w:rsidRPr="007223FB">
        <w:rPr>
          <w:b/>
          <w:lang w:val="es-ES" w:eastAsia="es-GT"/>
        </w:rPr>
        <w:t xml:space="preserve"> –CNA-</w:t>
      </w:r>
    </w:p>
    <w:p w:rsidR="00A63315" w:rsidRPr="00A63315" w:rsidRDefault="00A63315" w:rsidP="001617C9">
      <w:pPr>
        <w:pStyle w:val="Prrafodelista"/>
        <w:autoSpaceDE w:val="0"/>
        <w:autoSpaceDN w:val="0"/>
        <w:adjustRightInd w:val="0"/>
        <w:spacing w:before="120" w:after="120" w:line="240" w:lineRule="auto"/>
        <w:ind w:left="0"/>
        <w:contextualSpacing w:val="0"/>
        <w:rPr>
          <w:rFonts w:eastAsia="Candara" w:cs="Candara"/>
          <w:spacing w:val="-3"/>
        </w:rPr>
      </w:pPr>
      <w:r w:rsidRPr="00A63315">
        <w:rPr>
          <w:rFonts w:eastAsia="Candara" w:cs="Candara"/>
          <w:spacing w:val="-3"/>
        </w:rPr>
        <w:t>El CNA es la entidad del estado y la autoridad central conforme al Convenio de la Haya, responsable de velar porque la adopción responda al interés superior del niño, niña y que las personas, instituciones y autoridades que requieran la misma, hayan sido convenientemente asesoradas e informadas, para asegurar la protección de los derechos e integridad de los niños y niñas.</w:t>
      </w:r>
    </w:p>
    <w:p w:rsidR="00A63315" w:rsidRPr="00A63315" w:rsidRDefault="00A63315" w:rsidP="001617C9">
      <w:pPr>
        <w:pStyle w:val="Prrafodelista"/>
        <w:autoSpaceDE w:val="0"/>
        <w:autoSpaceDN w:val="0"/>
        <w:adjustRightInd w:val="0"/>
        <w:spacing w:before="120" w:after="120" w:line="240" w:lineRule="auto"/>
        <w:ind w:left="0"/>
        <w:contextualSpacing w:val="0"/>
        <w:rPr>
          <w:rFonts w:eastAsia="Candara" w:cs="Candara"/>
          <w:spacing w:val="-3"/>
        </w:rPr>
      </w:pPr>
      <w:r w:rsidRPr="00A63315">
        <w:rPr>
          <w:rFonts w:eastAsia="Candara" w:cs="Candara"/>
          <w:spacing w:val="-3"/>
        </w:rPr>
        <w:t xml:space="preserve">El CNA cuenta con un presupuesto inicial de Q 21.7 millones y vigente de Q 22 millones,  y una ejecución para el cuatrimestre de Q 6.7 millones equivalente a 31% y acumulado de Q 11.4 millones correspondiente a 52%.  En cuanto a metas físicas el avance en ocho productos ha sido el siguiente: </w:t>
      </w:r>
      <w:r w:rsidRPr="00A63315">
        <w:rPr>
          <w:rFonts w:cs="Arial"/>
          <w:szCs w:val="10"/>
        </w:rPr>
        <w:t>Asesorías a Madres y o Padres biológicos en conflicto con su parentalidad con un avance de 34% para el cuatrimestre y 77%, Asesoría profesional de seguimiento a madres y o padres biológicos que conservaron o reunificaron a su hija o hijo 48% para el cuatrimestre y 64% acumulado,  Personas y o actores sociales informados sobre el programa de madres y o padres biológicos en conflicto con su parentalidad 65% para el cuatrimestre y 92% acumulado, NNA integrados</w:t>
      </w:r>
      <w:r w:rsidRPr="00A63315">
        <w:rPr>
          <w:rFonts w:eastAsia="Candara" w:cs="Candara"/>
          <w:spacing w:val="-3"/>
        </w:rPr>
        <w:t xml:space="preserve"> en familias adoptivas 19% para el cuatrimestre y 30% acumulado, NNA adoptados integrados en un ambiente familiar y social 55% para el cuatrimestre y 88% acumulado, 32%, Hogares de protección abrigo y cuidado de NNA Capacitados 42% para el cuatrimestre y 80% acumulado, Resoluciones finales del proceso de autorización o revalidación de Hogares de protección abrigo y cuidado de NNA presenta 8% para el cuatrimestre y acumulado, Supervisiones y Monitoreo de Hogares de protección abrigo y cuidado de NNA con un avance para el cuatrimestre 35% y 67% acumulado.</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Consejo Nacional para la Atención de las Personas con Discapacidad</w:t>
      </w:r>
      <w:r w:rsidR="00F74603" w:rsidRPr="007223FB">
        <w:rPr>
          <w:b/>
          <w:lang w:val="es-ES" w:eastAsia="es-GT"/>
        </w:rPr>
        <w:t xml:space="preserve"> –CONADI-</w:t>
      </w:r>
    </w:p>
    <w:p w:rsidR="00A63315" w:rsidRPr="00A63315" w:rsidRDefault="00A63315" w:rsidP="001617C9">
      <w:pPr>
        <w:pStyle w:val="Prrafodelista"/>
        <w:autoSpaceDE w:val="0"/>
        <w:autoSpaceDN w:val="0"/>
        <w:adjustRightInd w:val="0"/>
        <w:spacing w:before="120" w:after="120" w:line="240" w:lineRule="auto"/>
        <w:ind w:left="0"/>
        <w:contextualSpacing w:val="0"/>
        <w:rPr>
          <w:rFonts w:eastAsia="Candara" w:cs="Candara"/>
          <w:spacing w:val="-3"/>
        </w:rPr>
      </w:pPr>
      <w:r w:rsidRPr="00A63315">
        <w:rPr>
          <w:rFonts w:eastAsia="Candara" w:cs="Candara"/>
          <w:spacing w:val="-3"/>
        </w:rPr>
        <w:t>Conadi en cumplimiento de sus funciones cuenta con un presupuesto inicial de Q 18 millones y modificaciones del periodo lo que refleja un presupuesto vigente de Q 21.4 millones, y una ejecución para el cuatrimestre de Q6.2 millones equivalente al 28% y una ejecución acumulada de Q 9.9 millones.  En cuanto a la programación de metas físicas presenta cuatro productos relacionados con su mandato hacia la población elegible, en los cuales por la naturaleza institucional presenta avance en metas físicas hasta finalizar el ejercicio fiscal.</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Escuela N</w:t>
      </w:r>
      <w:r w:rsidR="00310A2B" w:rsidRPr="007223FB">
        <w:rPr>
          <w:b/>
          <w:lang w:val="es-ES" w:eastAsia="es-GT"/>
        </w:rPr>
        <w:t>acional Central de Agricultura –ENCA-</w:t>
      </w:r>
    </w:p>
    <w:p w:rsidR="00DB33D9" w:rsidRPr="007223FB" w:rsidRDefault="00DB33D9" w:rsidP="001617C9">
      <w:pPr>
        <w:autoSpaceDE w:val="0"/>
        <w:autoSpaceDN w:val="0"/>
        <w:adjustRightInd w:val="0"/>
        <w:spacing w:before="120" w:after="120" w:line="240" w:lineRule="auto"/>
        <w:rPr>
          <w:rFonts w:cs="Candara"/>
        </w:rPr>
      </w:pPr>
      <w:r w:rsidRPr="007223FB">
        <w:rPr>
          <w:rFonts w:cs="Candara"/>
        </w:rPr>
        <w:t xml:space="preserve">En cumplimiento a sus funciones, la ENCA para el 2019 define el RI: </w:t>
      </w:r>
      <w:r w:rsidRPr="007223FB">
        <w:rPr>
          <w:rFonts w:cs="Candara"/>
          <w:i/>
        </w:rPr>
        <w:t>“Ejercer eficazmente de forma sostenida la función rectora en la educación agropecuaria y forestal del país formando integralmente técnicos con excelencia académica con proyección social responsabilidad ambiental y emprendedurismo”</w:t>
      </w:r>
      <w:r w:rsidRPr="007223FB">
        <w:rPr>
          <w:rFonts w:cs="Candara"/>
        </w:rPr>
        <w:t xml:space="preserve">, con tres productos, los cuales, están distribuidos por alumnos atendidos en las dos carreras que ofrecen a nivel diversificado siendo Perito Agrónomo y Perito Forestal por año </w:t>
      </w:r>
      <w:r w:rsidRPr="007223FB">
        <w:rPr>
          <w:rFonts w:cs="Candara"/>
        </w:rPr>
        <w:lastRenderedPageBreak/>
        <w:t>aprobado,  la institución registra 0% de avance físico en su producción para el segundo cuatrimestre.</w:t>
      </w:r>
    </w:p>
    <w:p w:rsidR="00DB33D9" w:rsidRPr="007223FB" w:rsidRDefault="00DB33D9" w:rsidP="001617C9">
      <w:pPr>
        <w:spacing w:before="120" w:after="120" w:line="240" w:lineRule="auto"/>
        <w:rPr>
          <w:lang w:val="es-MX"/>
        </w:rPr>
      </w:pPr>
      <w:r w:rsidRPr="007223FB">
        <w:rPr>
          <w:lang w:val="es-MX"/>
        </w:rPr>
        <w:t xml:space="preserve">La ENCA tuvo un presupuesto inicial fue de Q.70.9 millones, teniendo un incremento de Q.49.55 millones, para tener un presupuesto vigente de Q. 120.45 millones, para el segundo cuatrimestre ejecutó Q. 19.04 millones equivalente al 26.85%m durante el ejercicio fiscal 2019.  </w:t>
      </w:r>
    </w:p>
    <w:p w:rsidR="00AA4E25" w:rsidRPr="007223FB" w:rsidRDefault="00AA4E25" w:rsidP="000B07D9">
      <w:pPr>
        <w:pStyle w:val="Prrafodelista"/>
        <w:numPr>
          <w:ilvl w:val="0"/>
          <w:numId w:val="5"/>
        </w:numPr>
        <w:spacing w:before="120" w:after="120" w:line="240" w:lineRule="auto"/>
        <w:contextualSpacing w:val="0"/>
        <w:rPr>
          <w:lang w:val="es-MX"/>
        </w:rPr>
      </w:pPr>
      <w:r w:rsidRPr="007223FB">
        <w:rPr>
          <w:rFonts w:cstheme="minorHAnsi"/>
          <w:b/>
        </w:rPr>
        <w:t>Empresa Ferrocarriles de Guatemala –FEGUA-</w:t>
      </w:r>
    </w:p>
    <w:p w:rsidR="00857BB8" w:rsidRPr="007223FB" w:rsidRDefault="00857BB8" w:rsidP="001617C9">
      <w:pPr>
        <w:spacing w:before="120" w:after="120" w:line="240" w:lineRule="auto"/>
        <w:rPr>
          <w:rFonts w:cs="Candara"/>
        </w:rPr>
      </w:pPr>
      <w:r w:rsidRPr="007223FB">
        <w:rPr>
          <w:rFonts w:cstheme="minorHAnsi"/>
          <w:bCs/>
        </w:rPr>
        <w:t>La</w:t>
      </w:r>
      <w:r w:rsidRPr="007223FB">
        <w:rPr>
          <w:rFonts w:cstheme="minorHAnsi"/>
          <w:b/>
        </w:rPr>
        <w:t xml:space="preserve"> </w:t>
      </w:r>
      <w:r w:rsidRPr="007223FB">
        <w:rPr>
          <w:rFonts w:cstheme="minorHAnsi"/>
        </w:rPr>
        <w:t>Empresa Ferrocarriles de Guatemala –FEGUA- es una entidad estatal descentraliza y autónoma, que tiene como propósito r</w:t>
      </w:r>
      <w:r w:rsidRPr="007223FB">
        <w:rPr>
          <w:rFonts w:cs="Arial"/>
        </w:rPr>
        <w:t xml:space="preserve">escatar, proteger, conservar y promover la investigación y divulgación del Patrimonio Histórico de carácter ferroviario en Guatemala. Así mismo, tiene como objetivo </w:t>
      </w:r>
      <w:r w:rsidRPr="007223FB">
        <w:rPr>
          <w:rFonts w:cstheme="minorHAnsi"/>
        </w:rPr>
        <w:t xml:space="preserve">la prestación del servicio público de transporte ferroviario y servicios auxiliares, según su Ley Orgánica. Al 5 de septiembre del ejercicio fiscal 2019, SICOIN registra </w:t>
      </w:r>
      <w:r w:rsidRPr="007223FB">
        <w:rPr>
          <w:color w:val="000000"/>
        </w:rPr>
        <w:t>un incremento de Q 8.00 millones de un presupuesto inicial de Q</w:t>
      </w:r>
      <w:r w:rsidRPr="007223FB">
        <w:rPr>
          <w:b/>
          <w:bCs/>
          <w:color w:val="000000"/>
        </w:rPr>
        <w:t xml:space="preserve"> </w:t>
      </w:r>
      <w:r w:rsidRPr="007223FB">
        <w:rPr>
          <w:color w:val="000000"/>
        </w:rPr>
        <w:t>8.34</w:t>
      </w:r>
      <w:r w:rsidRPr="007223FB">
        <w:rPr>
          <w:b/>
          <w:bCs/>
          <w:color w:val="000000"/>
        </w:rPr>
        <w:t xml:space="preserve"> </w:t>
      </w:r>
      <w:r w:rsidRPr="007223FB">
        <w:rPr>
          <w:color w:val="000000"/>
        </w:rPr>
        <w:t xml:space="preserve">millones, fija el monto del presupuesto vigente en Q 16.34 millones, con un avance de ejecución de Q 4.85 millones que equivalen a un 29.69%. </w:t>
      </w:r>
      <w:r w:rsidRPr="007223FB">
        <w:rPr>
          <w:rFonts w:cs="Candara"/>
          <w:color w:val="000000" w:themeColor="text1"/>
        </w:rPr>
        <w:t>En el acumulado (enero-agosto) ha ejecutado Q</w:t>
      </w:r>
      <w:r w:rsidRPr="007223FB">
        <w:rPr>
          <w:rFonts w:cs="Arial-Bold"/>
          <w:bCs/>
        </w:rPr>
        <w:t xml:space="preserve"> 7.51 </w:t>
      </w:r>
      <w:r w:rsidRPr="007223FB">
        <w:rPr>
          <w:rFonts w:cs="Candara"/>
          <w:color w:val="000000" w:themeColor="text1"/>
        </w:rPr>
        <w:t>millones equivalente a un 45.96%, quedando sin superar el 50% de ejecución.</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de la Defensa Pública Penal</w:t>
      </w:r>
      <w:r w:rsidR="00AA4E25" w:rsidRPr="007223FB">
        <w:rPr>
          <w:b/>
          <w:lang w:val="es-ES" w:eastAsia="es-GT"/>
        </w:rPr>
        <w:t xml:space="preserve"> –IDPP-</w:t>
      </w:r>
    </w:p>
    <w:p w:rsidR="00042018" w:rsidRPr="007223FB" w:rsidRDefault="00042018" w:rsidP="001617C9">
      <w:pPr>
        <w:autoSpaceDE w:val="0"/>
        <w:autoSpaceDN w:val="0"/>
        <w:adjustRightInd w:val="0"/>
        <w:spacing w:before="120" w:after="120" w:line="240" w:lineRule="auto"/>
        <w:rPr>
          <w:rFonts w:cs="Candara"/>
        </w:rPr>
      </w:pPr>
      <w:r w:rsidRPr="007223FB">
        <w:rPr>
          <w:rFonts w:cs="Candara"/>
        </w:rPr>
        <w:t>El Estado de Guatemala por medio del Instituto de la Defensa Publica Penal (IDPP) presta el servicio de defensa legal gratuita en el ramo penal, asistiendo a sindicados de la comisión de un delito y a las mujeres víctimas de violencia intrafamiliar y sus familiares de conformidad con lo establecido en la Constitución Política de la República de Guatemala, Tratados y Convenios Internacionales en materia de derechos humanos ratificados por el estado de Guatemala, Ley del Servicio Público de Defensa Penal, y Ley Contra el Femicidio y Otras Formas de Violencia Contra La Mujer.</w:t>
      </w:r>
    </w:p>
    <w:p w:rsidR="00042018" w:rsidRPr="007223FB" w:rsidRDefault="00042018" w:rsidP="001617C9">
      <w:pPr>
        <w:spacing w:before="120" w:after="120" w:line="240" w:lineRule="auto"/>
        <w:rPr>
          <w:bCs/>
        </w:rPr>
      </w:pPr>
      <w:r w:rsidRPr="007223FB">
        <w:t>La institución cuenta con un presupuesto vigente de Q 265</w:t>
      </w:r>
      <w:r w:rsidR="00A5265B" w:rsidRPr="007223FB">
        <w:t>.72</w:t>
      </w:r>
      <w:r w:rsidRPr="007223FB">
        <w:t xml:space="preserve"> millones. En lo que respecta a la ejecución cuatrimestral mayo- agosto, se tiene un avance financiero de Q 68</w:t>
      </w:r>
      <w:r w:rsidR="00A5265B" w:rsidRPr="007223FB">
        <w:t>.</w:t>
      </w:r>
      <w:r w:rsidRPr="007223FB">
        <w:t>26</w:t>
      </w:r>
      <w:r w:rsidRPr="007223FB">
        <w:rPr>
          <w:bCs/>
        </w:rPr>
        <w:t xml:space="preserve"> millones equivalente a un 25.69%</w:t>
      </w:r>
      <w:r w:rsidR="00A5265B" w:rsidRPr="007223FB">
        <w:rPr>
          <w:bCs/>
        </w:rPr>
        <w:t>, acumulado de 46.37%</w:t>
      </w:r>
      <w:r w:rsidRPr="007223FB">
        <w:rPr>
          <w:bCs/>
        </w:rPr>
        <w:t>. Con respecto a los resultados institucionales, se tienen:</w:t>
      </w:r>
    </w:p>
    <w:p w:rsidR="00042018" w:rsidRPr="007223FB" w:rsidRDefault="00042018" w:rsidP="001617C9">
      <w:pPr>
        <w:autoSpaceDE w:val="0"/>
        <w:autoSpaceDN w:val="0"/>
        <w:adjustRightInd w:val="0"/>
        <w:spacing w:before="120" w:after="120" w:line="240" w:lineRule="auto"/>
        <w:rPr>
          <w:rFonts w:cs="Candara"/>
        </w:rPr>
      </w:pPr>
      <w:r w:rsidRPr="007223FB">
        <w:rPr>
          <w:rFonts w:cs="Candara"/>
        </w:rPr>
        <w:t>-Para el 2019 atender solicitudes del servicio de atención a mujeres víctimas de violencia y a sus</w:t>
      </w:r>
      <w:r w:rsidR="00AA4E25" w:rsidRPr="007223FB">
        <w:rPr>
          <w:rFonts w:cs="Candara"/>
        </w:rPr>
        <w:t xml:space="preserve"> </w:t>
      </w:r>
      <w:r w:rsidRPr="007223FB">
        <w:rPr>
          <w:rFonts w:cs="Candara"/>
        </w:rPr>
        <w:t>familiares de 4</w:t>
      </w:r>
      <w:r w:rsidR="0082500A" w:rsidRPr="007223FB">
        <w:rPr>
          <w:rFonts w:cs="Candara"/>
        </w:rPr>
        <w:t>,</w:t>
      </w:r>
      <w:r w:rsidRPr="007223FB">
        <w:rPr>
          <w:rFonts w:cs="Candara"/>
        </w:rPr>
        <w:t>860 personas de escasos recursos.</w:t>
      </w:r>
    </w:p>
    <w:p w:rsidR="00042018" w:rsidRPr="007223FB" w:rsidRDefault="00042018" w:rsidP="001617C9">
      <w:pPr>
        <w:autoSpaceDE w:val="0"/>
        <w:autoSpaceDN w:val="0"/>
        <w:adjustRightInd w:val="0"/>
        <w:spacing w:before="120" w:after="120" w:line="240" w:lineRule="auto"/>
        <w:rPr>
          <w:rFonts w:cs="Candara"/>
        </w:rPr>
      </w:pPr>
      <w:r w:rsidRPr="007223FB">
        <w:rPr>
          <w:rFonts w:cs="Candara"/>
        </w:rPr>
        <w:t>-Para el 2019 atender solicitudes del servicio de defensoría pública y asesoría legal gratuita a 63 200 personas de escasos recursos.</w:t>
      </w:r>
    </w:p>
    <w:p w:rsidR="00042018" w:rsidRPr="007223FB" w:rsidRDefault="00042018" w:rsidP="001617C9">
      <w:pPr>
        <w:autoSpaceDE w:val="0"/>
        <w:autoSpaceDN w:val="0"/>
        <w:adjustRightInd w:val="0"/>
        <w:spacing w:before="120" w:after="120" w:line="240" w:lineRule="auto"/>
        <w:rPr>
          <w:rFonts w:cs="Candara"/>
        </w:rPr>
      </w:pPr>
      <w:r w:rsidRPr="007223FB">
        <w:rPr>
          <w:rFonts w:cs="Candara"/>
        </w:rPr>
        <w:t>-Para el 2019 se incrementará el apoyo al fortalecimiento del sector justicia penal.</w:t>
      </w:r>
    </w:p>
    <w:p w:rsidR="00042018" w:rsidRPr="007223FB" w:rsidRDefault="00042018" w:rsidP="001617C9">
      <w:pPr>
        <w:autoSpaceDE w:val="0"/>
        <w:autoSpaceDN w:val="0"/>
        <w:adjustRightInd w:val="0"/>
        <w:spacing w:before="120" w:after="120" w:line="240" w:lineRule="auto"/>
        <w:rPr>
          <w:rFonts w:cs="Candara"/>
        </w:rPr>
      </w:pPr>
      <w:r w:rsidRPr="007223FB">
        <w:rPr>
          <w:rFonts w:cs="Candara"/>
        </w:rPr>
        <w:t>-Se incrementan las gestiones administrativas internas.</w:t>
      </w:r>
    </w:p>
    <w:p w:rsidR="00042018" w:rsidRPr="007223FB" w:rsidRDefault="00042018" w:rsidP="001617C9">
      <w:pPr>
        <w:autoSpaceDE w:val="0"/>
        <w:autoSpaceDN w:val="0"/>
        <w:adjustRightInd w:val="0"/>
        <w:spacing w:before="120" w:after="120" w:line="240" w:lineRule="auto"/>
        <w:rPr>
          <w:rFonts w:cs="Candara"/>
        </w:rPr>
      </w:pPr>
      <w:r w:rsidRPr="007223FB">
        <w:rPr>
          <w:bCs/>
        </w:rPr>
        <w:t xml:space="preserve">De acuerdo con la información analizada, la institución está realizando esfuerzos para alcanzar los resultados institucionales propuestos. Se observó que tuvo un incremento en su asignación presupuestaria, resaltando el hecho que de éste se invirtió más en la producción asociada al resultado institucional que más se vincula a su mandato.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Guatemalteco de Seguridad Social</w:t>
      </w:r>
      <w:r w:rsidR="00AA4E25" w:rsidRPr="007223FB">
        <w:rPr>
          <w:b/>
          <w:lang w:val="es-ES" w:eastAsia="es-GT"/>
        </w:rPr>
        <w:t xml:space="preserve"> –IGSS-</w:t>
      </w:r>
      <w:r w:rsidRPr="007223FB">
        <w:rPr>
          <w:b/>
          <w:lang w:val="es-ES" w:eastAsia="es-GT"/>
        </w:rPr>
        <w:t xml:space="preserve"> </w:t>
      </w:r>
    </w:p>
    <w:p w:rsidR="00A91ED0" w:rsidRPr="007223FB" w:rsidRDefault="00A91ED0" w:rsidP="001617C9">
      <w:pPr>
        <w:autoSpaceDE w:val="0"/>
        <w:autoSpaceDN w:val="0"/>
        <w:adjustRightInd w:val="0"/>
        <w:spacing w:before="120" w:after="120" w:line="240" w:lineRule="auto"/>
        <w:rPr>
          <w:rFonts w:cs="Candara"/>
        </w:rPr>
      </w:pPr>
      <w:r w:rsidRPr="007223FB">
        <w:rPr>
          <w:rFonts w:cs="Candara"/>
        </w:rPr>
        <w:t>El IGSS es la entidad cuya finalidad es brindar seguridad social, es autónoma con personalidad jurídica, tiene patrimonio y funciones propias, adicionalmente busca mejorar la cobertura, transparencia, solidez financiera y eficiencia de los servicios que presta a sus afiliados; del mismo modo apunta a una modernización tecnológica que permita agilizar los procesos administrativos.</w:t>
      </w:r>
    </w:p>
    <w:p w:rsidR="00A91ED0" w:rsidRPr="007223FB" w:rsidRDefault="00A91ED0" w:rsidP="001617C9">
      <w:pPr>
        <w:autoSpaceDE w:val="0"/>
        <w:autoSpaceDN w:val="0"/>
        <w:adjustRightInd w:val="0"/>
        <w:spacing w:before="120" w:after="120" w:line="240" w:lineRule="auto"/>
        <w:rPr>
          <w:rFonts w:cs="Candara"/>
        </w:rPr>
      </w:pPr>
      <w:r w:rsidRPr="007223FB">
        <w:rPr>
          <w:rFonts w:cs="Candara"/>
        </w:rPr>
        <w:lastRenderedPageBreak/>
        <w:t>La planificación institucional del IGSS contribuye a la cobertura de las necesidades socialmente reconocidas como: salud, vejez y discapacidad, así como la atención a maternidad, accidentes, muerte y asistencia médica. El presupuesto vigente del IGSS es de Q 18,608.88 millones, ha ejecutado para el segundo cuatrimestre el 31.36%, el cual| tiene un avance acumulado financiero de 39.18%.</w:t>
      </w:r>
    </w:p>
    <w:p w:rsidR="00A91ED0" w:rsidRPr="007223FB" w:rsidRDefault="00A91ED0" w:rsidP="001617C9">
      <w:pPr>
        <w:autoSpaceDE w:val="0"/>
        <w:autoSpaceDN w:val="0"/>
        <w:adjustRightInd w:val="0"/>
        <w:spacing w:before="120" w:after="120" w:line="240" w:lineRule="auto"/>
        <w:rPr>
          <w:rFonts w:cs="Candara"/>
        </w:rPr>
      </w:pPr>
      <w:r w:rsidRPr="007223FB">
        <w:rPr>
          <w:rFonts w:cs="Candara"/>
        </w:rPr>
        <w:t xml:space="preserve">El programa que reporta con baja ejecución es la “Promoción de la salud y prevención de enfermedades” tiene un presupuesto de Q 94.13 millones, la ejecución del segundo cuatrimestre es de 21.46% y tiene un avance acumulado financiero de 39.18%.  </w:t>
      </w:r>
    </w:p>
    <w:p w:rsidR="006B05FA" w:rsidRPr="007223FB" w:rsidRDefault="006B05FA" w:rsidP="000B07D9">
      <w:pPr>
        <w:pStyle w:val="Prrafodelista"/>
        <w:numPr>
          <w:ilvl w:val="0"/>
          <w:numId w:val="5"/>
        </w:numPr>
        <w:spacing w:before="120" w:after="120" w:line="240" w:lineRule="auto"/>
        <w:contextualSpacing w:val="0"/>
        <w:rPr>
          <w:rFonts w:cs="Candara"/>
          <w:b/>
        </w:rPr>
      </w:pPr>
      <w:r w:rsidRPr="007223FB">
        <w:rPr>
          <w:b/>
          <w:lang w:val="es-ES" w:eastAsia="es-GT"/>
        </w:rPr>
        <w:t xml:space="preserve">Instituto Nacional de Ciencias Forenses </w:t>
      </w:r>
      <w:r w:rsidR="00AA4E25" w:rsidRPr="007223FB">
        <w:rPr>
          <w:rFonts w:cs="Candara"/>
        </w:rPr>
        <w:t>–</w:t>
      </w:r>
      <w:r w:rsidR="00AA4E25" w:rsidRPr="007223FB">
        <w:rPr>
          <w:rFonts w:cs="Candara"/>
          <w:b/>
        </w:rPr>
        <w:t>INACIF-</w:t>
      </w:r>
      <w:r w:rsidRPr="007223FB">
        <w:rPr>
          <w:rFonts w:cs="Candara"/>
          <w:b/>
        </w:rPr>
        <w:t xml:space="preserve"> </w:t>
      </w:r>
    </w:p>
    <w:p w:rsidR="005E4DE6" w:rsidRPr="007223FB" w:rsidRDefault="005E4DE6" w:rsidP="001617C9">
      <w:pPr>
        <w:autoSpaceDE w:val="0"/>
        <w:autoSpaceDN w:val="0"/>
        <w:adjustRightInd w:val="0"/>
        <w:spacing w:before="120" w:after="120" w:line="240" w:lineRule="auto"/>
        <w:rPr>
          <w:rFonts w:cs="Candara"/>
        </w:rPr>
      </w:pPr>
      <w:r w:rsidRPr="007223FB">
        <w:rPr>
          <w:rFonts w:cs="Candara"/>
        </w:rPr>
        <w:t>El Instituto Nacional de Ciencias Forenses de Guatemala (INACIF) es la institución que surge como consecuencia de la necesidad de unificar y fortalecer los servicios periciales forenses en Guatemala, mediante el desarrollo científico del trabajo que realiza como institución autónoma, garantizando la imparcialidad y confiabilidad de la investigación técnica científica, contribuyendo así al sistema de justicia. Tiene como fin principal la prestación del servicio de investigación científica de forma independiente emitiendo dictámenes técnicos y científicos que doten a la función jurisdiccional, con medios de prueba válidos y fehacientes en los procesos judiciales.</w:t>
      </w:r>
    </w:p>
    <w:p w:rsidR="005E4DE6" w:rsidRPr="007223FB" w:rsidRDefault="005E4DE6" w:rsidP="001617C9">
      <w:pPr>
        <w:spacing w:before="120" w:after="120" w:line="240" w:lineRule="auto"/>
        <w:rPr>
          <w:bCs/>
        </w:rPr>
      </w:pPr>
      <w:r w:rsidRPr="007223FB">
        <w:t>La institución cuenta con un presupuesto vigente de Q 388</w:t>
      </w:r>
      <w:r w:rsidR="00217426" w:rsidRPr="007223FB">
        <w:t>.</w:t>
      </w:r>
      <w:r w:rsidRPr="007223FB">
        <w:t>04 millones. En lo que respecta a la ejecución cuatrimestral mayo- agosto, se tiene un avance financiero de Q 85</w:t>
      </w:r>
      <w:r w:rsidR="00217426" w:rsidRPr="007223FB">
        <w:t>.</w:t>
      </w:r>
      <w:r w:rsidRPr="007223FB">
        <w:t>24</w:t>
      </w:r>
      <w:r w:rsidRPr="007223FB">
        <w:rPr>
          <w:bCs/>
        </w:rPr>
        <w:t xml:space="preserve"> millones equivalente a un 21.97%</w:t>
      </w:r>
      <w:r w:rsidR="00217426" w:rsidRPr="007223FB">
        <w:rPr>
          <w:bCs/>
        </w:rPr>
        <w:t>, acumulado de 38.01%</w:t>
      </w:r>
      <w:r w:rsidRPr="007223FB">
        <w:rPr>
          <w:bCs/>
        </w:rPr>
        <w:t>. Con respecto al resultado institucional, se tiene:</w:t>
      </w:r>
    </w:p>
    <w:p w:rsidR="005E4DE6" w:rsidRPr="007223FB" w:rsidRDefault="005E4DE6" w:rsidP="001617C9">
      <w:pPr>
        <w:autoSpaceDE w:val="0"/>
        <w:autoSpaceDN w:val="0"/>
        <w:adjustRightInd w:val="0"/>
        <w:spacing w:before="120" w:after="120" w:line="240" w:lineRule="auto"/>
        <w:rPr>
          <w:rFonts w:cs="Candara"/>
        </w:rPr>
      </w:pPr>
      <w:r w:rsidRPr="007223FB">
        <w:rPr>
          <w:rFonts w:cs="Candara"/>
        </w:rPr>
        <w:t>-Aumentar dictámenes técnicos científicos de análisis Criminalístico y Forense elaborados con estándares de calidad en un 10% al año 2019 según solicitudes del Ministerio Público y el Organismo Judicial.</w:t>
      </w:r>
    </w:p>
    <w:p w:rsidR="005E4DE6" w:rsidRPr="007223FB" w:rsidRDefault="005E4DE6" w:rsidP="001617C9">
      <w:pPr>
        <w:autoSpaceDE w:val="0"/>
        <w:autoSpaceDN w:val="0"/>
        <w:adjustRightInd w:val="0"/>
        <w:spacing w:before="120" w:after="120" w:line="240" w:lineRule="auto"/>
        <w:rPr>
          <w:rFonts w:cs="Candara"/>
        </w:rPr>
      </w:pPr>
      <w:r w:rsidRPr="007223FB">
        <w:rPr>
          <w:bCs/>
        </w:rPr>
        <w:t xml:space="preserve">De acuerdo con la información analizada, la institución está realizando esfuerzos para alcanzar los resultados institucionales propuestos. Se observó que tuvo un incremento en su asignación presupuestaria, considerando que se tienen proyectos de construcción de sedes departamentales. De igual forma, se evidenció el hecho que la misma ha invertido sustantivamente en la producción asociada al resultado institucional el cual se vincula efectivamente a su mandato. </w:t>
      </w:r>
    </w:p>
    <w:p w:rsidR="00921A25" w:rsidRPr="007223FB" w:rsidRDefault="00921A25" w:rsidP="000B07D9">
      <w:pPr>
        <w:pStyle w:val="Prrafodelista"/>
        <w:numPr>
          <w:ilvl w:val="0"/>
          <w:numId w:val="5"/>
        </w:numPr>
        <w:spacing w:before="120" w:after="120" w:line="240" w:lineRule="auto"/>
        <w:contextualSpacing w:val="0"/>
        <w:rPr>
          <w:rFonts w:cs="Candara,Bold"/>
          <w:b/>
          <w:bCs/>
        </w:rPr>
      </w:pPr>
      <w:r w:rsidRPr="007223FB">
        <w:rPr>
          <w:rFonts w:cs="Candara,Bold"/>
          <w:b/>
          <w:bCs/>
        </w:rPr>
        <w:t xml:space="preserve">Instituto Nacional de Cooperativas </w:t>
      </w:r>
      <w:r w:rsidR="00AA4E25" w:rsidRPr="007223FB">
        <w:rPr>
          <w:rFonts w:cs="Candara,Bold"/>
          <w:b/>
          <w:bCs/>
        </w:rPr>
        <w:t>–INACOP-</w:t>
      </w:r>
    </w:p>
    <w:p w:rsidR="00921A25" w:rsidRPr="007223FB" w:rsidRDefault="00921A25" w:rsidP="001617C9">
      <w:pPr>
        <w:spacing w:before="120" w:after="120" w:line="240" w:lineRule="auto"/>
        <w:rPr>
          <w:lang w:val="es-MX"/>
        </w:rPr>
      </w:pPr>
      <w:r w:rsidRPr="007223FB">
        <w:rPr>
          <w:lang w:val="es-MX"/>
        </w:rPr>
        <w:t xml:space="preserve">El Instituto Nacional de Cooperativas (INACOP) es la entidad rectora de fomentar y desarrollar el cooperativismo en Guatemala, proporcionar asistencia técnica y administrativa a las cooperativas, satisfacer las demandas provenientes de las cooperativas en búsqueda del crecimiento y desarrollo del sector cooperativista. El trabajo del Inacop está regulado por la Ley General de Cooperativas, Decreto Legislativo Número 82-78 así como por el Reglamento de la Ley General de Cooperativas, Acuerdo Gubernativo Número M. de E. 7-79. </w:t>
      </w:r>
    </w:p>
    <w:p w:rsidR="00921A25" w:rsidRPr="007223FB" w:rsidRDefault="00921A25" w:rsidP="001617C9">
      <w:pPr>
        <w:spacing w:before="120" w:after="120" w:line="240" w:lineRule="auto"/>
        <w:rPr>
          <w:lang w:val="es-MX"/>
        </w:rPr>
      </w:pPr>
      <w:r w:rsidRPr="007223FB">
        <w:rPr>
          <w:lang w:val="es-MX"/>
        </w:rPr>
        <w:t xml:space="preserve">Ha establecido el resultado institucional “Para el </w:t>
      </w:r>
      <w:r w:rsidR="00FB277B" w:rsidRPr="007223FB">
        <w:rPr>
          <w:lang w:val="es-MX"/>
        </w:rPr>
        <w:t>2023 la</w:t>
      </w:r>
      <w:r w:rsidRPr="007223FB">
        <w:rPr>
          <w:lang w:val="es-MX"/>
        </w:rPr>
        <w:t xml:space="preserve"> cobertura de asistencia técnica y administrativa a cooperativas activas se ha incrementado de 38% en 2016 a 53% en 2023”. Para lograr el resultado se han planteado los siguientes productos: 1) Cooperativas beneficiadas con asistencia técnica y capacitación; 2) Grupos de interés beneficiados con asistencia técnica y capacitación para constituir cooperativas.</w:t>
      </w:r>
    </w:p>
    <w:p w:rsidR="00921A25" w:rsidRPr="007223FB" w:rsidRDefault="00921A25" w:rsidP="001617C9">
      <w:pPr>
        <w:spacing w:before="120" w:after="120" w:line="240" w:lineRule="auto"/>
      </w:pPr>
      <w:r w:rsidRPr="007223FB">
        <w:rPr>
          <w:lang w:val="es-MX"/>
        </w:rPr>
        <w:t xml:space="preserve">En el primer producto se planificó inicialmente una meta de 1,010 entidades a beneficiar con procesos de asistencia técnica, manteniéndose vigente al segundo cuatrimestre, se logró un  avance físico de 1,242 y 122.97% de ejecución, acumulado de 184.75%; para el producto dos una meta inicial de 200, la cual se mantiene vigente, avance de 199 y 99.50% de ejecución, acumulado de 308, </w:t>
      </w:r>
      <w:r w:rsidRPr="007223FB">
        <w:rPr>
          <w:lang w:val="es-MX"/>
        </w:rPr>
        <w:lastRenderedPageBreak/>
        <w:t>de los 200 grupos planificados originalmente a ser beneficiados con asistencia técnica, alcanzando un 154% de ejecución.</w:t>
      </w:r>
    </w:p>
    <w:p w:rsidR="00985E6E" w:rsidRDefault="00921A25" w:rsidP="00985E6E">
      <w:pPr>
        <w:spacing w:before="120" w:after="120" w:line="240" w:lineRule="auto"/>
        <w:rPr>
          <w:b/>
          <w:lang w:val="es-ES" w:eastAsia="es-GT"/>
        </w:rPr>
      </w:pPr>
      <w:r w:rsidRPr="007223FB">
        <w:t>Para el segundo cuatrimestre del año 2019, el INACOP presenta un presupuesto inicial de Q. 19.10 millones el cual se mantuvo vigente al segundo cuatrimestre, de los cuales ejecutó Q. 5.87 millones que equivale a un 30.73% de ejecución, acumulado de 53.02%.</w:t>
      </w:r>
      <w:r w:rsidR="00985E6E">
        <w:t xml:space="preserve"> </w:t>
      </w:r>
      <w:r w:rsidR="00985E6E">
        <w:rPr>
          <w:b/>
          <w:lang w:val="es-ES" w:eastAsia="es-GT"/>
        </w:rPr>
        <w:br w:type="page"/>
      </w:r>
    </w:p>
    <w:p w:rsidR="00921A25" w:rsidRPr="007223FB" w:rsidRDefault="000A4948" w:rsidP="000B07D9">
      <w:pPr>
        <w:pStyle w:val="Prrafodelista"/>
        <w:numPr>
          <w:ilvl w:val="0"/>
          <w:numId w:val="5"/>
        </w:numPr>
        <w:spacing w:before="120" w:after="120" w:line="240" w:lineRule="auto"/>
        <w:contextualSpacing w:val="0"/>
        <w:rPr>
          <w:rFonts w:cs="Candara,Bold"/>
          <w:b/>
          <w:bCs/>
        </w:rPr>
      </w:pPr>
      <w:r w:rsidRPr="007223FB">
        <w:rPr>
          <w:b/>
          <w:lang w:val="es-ES" w:eastAsia="es-GT"/>
        </w:rPr>
        <w:lastRenderedPageBreak/>
        <w:t>Instituto Nacional de Electrificación</w:t>
      </w:r>
      <w:r w:rsidRPr="007223FB">
        <w:rPr>
          <w:lang w:val="es-ES" w:eastAsia="es-GT"/>
        </w:rPr>
        <w:t xml:space="preserve"> </w:t>
      </w:r>
      <w:r w:rsidRPr="007223FB">
        <w:rPr>
          <w:b/>
          <w:lang w:val="es-ES" w:eastAsia="es-GT"/>
        </w:rPr>
        <w:t>–INDE-</w:t>
      </w:r>
    </w:p>
    <w:p w:rsidR="00626643" w:rsidRPr="007223FB" w:rsidRDefault="00626643" w:rsidP="001617C9">
      <w:pPr>
        <w:spacing w:before="120" w:after="120" w:line="240" w:lineRule="auto"/>
        <w:rPr>
          <w:lang w:val="es-ES" w:eastAsia="es-GT"/>
        </w:rPr>
      </w:pPr>
      <w:r w:rsidRPr="007223FB">
        <w:rPr>
          <w:lang w:val="es-ES" w:eastAsia="es-GT"/>
        </w:rPr>
        <w:t>El Instituto Nacional de Electrificación –INDE</w:t>
      </w:r>
      <w:r w:rsidRPr="007223FB">
        <w:rPr>
          <w:b/>
          <w:lang w:val="es-ES" w:eastAsia="es-GT"/>
        </w:rPr>
        <w:t>-</w:t>
      </w:r>
      <w:r w:rsidRPr="007223FB">
        <w:rPr>
          <w:lang w:val="es-ES" w:eastAsia="es-GT"/>
        </w:rPr>
        <w:t xml:space="preserve"> además de su contribución al REP 14 de Aumento de la Participación de la Energía Renovable en la Matriz Energética y en su calidad de empresa estatal de generación, transporte, electrificación y comercialización de energía, resume su planificación y control de su quehacer para el año 2019, en tres Resultados Institucionales –RI- de la siguiente manera:</w:t>
      </w:r>
    </w:p>
    <w:p w:rsidR="00626643" w:rsidRPr="007223FB" w:rsidRDefault="00626643" w:rsidP="001617C9">
      <w:pPr>
        <w:spacing w:before="120" w:after="120" w:line="240" w:lineRule="auto"/>
        <w:rPr>
          <w:lang w:val="es-ES" w:eastAsia="es-GT"/>
        </w:rPr>
      </w:pPr>
      <w:r w:rsidRPr="007223FB">
        <w:rPr>
          <w:lang w:val="es-ES" w:eastAsia="es-GT"/>
        </w:rPr>
        <w:t>RI1 “Comercializar 2,526.78 Gwh al año 2023” establece al segundo cuatrimestre una sobre ejecución financiera al reportar un 106.81% (Q. 919.01 millones) a raíz de comercializar 566.49 Gwh, sin embargo el avance financiero de la misma actividad se encuentra en 85.31% de una meta establecida en 664 Gwh. En ese sentido, deben realizarse las gestiones pertinentes para poder cumplir con la meta para el tercer cuatrimestre.</w:t>
      </w:r>
    </w:p>
    <w:p w:rsidR="00626643" w:rsidRPr="007223FB" w:rsidRDefault="00626643" w:rsidP="001617C9">
      <w:pPr>
        <w:spacing w:before="120" w:after="120" w:line="240" w:lineRule="auto"/>
        <w:rPr>
          <w:lang w:val="es-ES" w:eastAsia="es-GT"/>
        </w:rPr>
      </w:pPr>
      <w:r w:rsidRPr="007223FB">
        <w:rPr>
          <w:lang w:val="es-ES" w:eastAsia="es-GT"/>
        </w:rPr>
        <w:t>R12 “Contribuir al aumento del índice de cobertura eléctrica del área rural”</w:t>
      </w:r>
      <w:r w:rsidRPr="007223FB">
        <w:rPr>
          <w:b/>
          <w:lang w:val="es-ES" w:eastAsia="es-GT"/>
        </w:rPr>
        <w:t xml:space="preserve"> </w:t>
      </w:r>
      <w:r w:rsidRPr="007223FB">
        <w:rPr>
          <w:lang w:val="es-ES" w:eastAsia="es-GT"/>
        </w:rPr>
        <w:t>se vincula también a la Política de Electrificación Rural 2019-2032, que busca el incremento de los usuarios con acceso a electricidad de forma sostenible en el tiempo. Por medio de esta política, el INDE ha alcanzado en el año 2017 un índice de electrificación nacional del 92.26%. A pesar de estos esfuerzos, aún hay departamentos que presentan índices de cobertura por debajo del 80%.  Al segundo cuatrimestre el INDE registra un avance financiero de 21.78% (Q. 2.17 millones) que se traducen en la implementación de 74 eventos que contribuyen al cumplimiento de la meta, sin embargo el número de personas que no poseen acceso a electricidad es muy alto (7.74% a nivel nacional</w:t>
      </w:r>
      <w:r w:rsidR="00FB277B" w:rsidRPr="007223FB">
        <w:rPr>
          <w:lang w:val="es-ES" w:eastAsia="es-GT"/>
        </w:rPr>
        <w:t>) por</w:t>
      </w:r>
      <w:r w:rsidRPr="007223FB">
        <w:rPr>
          <w:lang w:val="es-ES" w:eastAsia="es-GT"/>
        </w:rPr>
        <w:t xml:space="preserve"> lo que este programa debe reforzarse para contar con más proyectos de electrificación para que a corto plazo, se atienda a las comunidades con menor cobertura. </w:t>
      </w:r>
    </w:p>
    <w:p w:rsidR="00626643" w:rsidRPr="007223FB" w:rsidRDefault="00626643" w:rsidP="001617C9">
      <w:pPr>
        <w:spacing w:before="120" w:after="120" w:line="240" w:lineRule="auto"/>
        <w:rPr>
          <w:lang w:val="es-ES" w:eastAsia="es-GT"/>
        </w:rPr>
      </w:pPr>
      <w:r w:rsidRPr="007223FB">
        <w:rPr>
          <w:lang w:val="es-ES" w:eastAsia="es-GT"/>
        </w:rPr>
        <w:t xml:space="preserve">RI3 “Mantener la capacidad de transporte” presenta acciones para la supervisión y control del transporte de la energía, para garantizar la confiabilidad del servicio, en ese sentido al segundo cuatrimestre se observa un avance financiero de 31.02% (Q. 94.45 millones) los cuales mantienen la operación de 1773 Megawatt. </w:t>
      </w:r>
    </w:p>
    <w:p w:rsidR="00626643" w:rsidRPr="007223FB" w:rsidRDefault="00626643" w:rsidP="001617C9">
      <w:pPr>
        <w:spacing w:before="120" w:after="120" w:line="240" w:lineRule="auto"/>
        <w:rPr>
          <w:lang w:val="es-ES" w:eastAsia="es-GT"/>
        </w:rPr>
      </w:pPr>
      <w:r w:rsidRPr="007223FB">
        <w:rPr>
          <w:lang w:val="es-ES" w:eastAsia="es-GT"/>
        </w:rPr>
        <w:t xml:space="preserve">Al segundo cuatrimestre, el INDE presenta una ejecución financiera de 53.52% (Q. 1,412.48 millones) en donde se tiene una brecha significativa de ejecución para el tercer cuatrimestre de Q. 1,226.61 millones, por lo cual es importante mejorar la eficiencia de la entrega de los productos del INDE para cumplir con la calidad en la ejecución del gasto y la programación realizada por la institución para el presente ejercicio fiscal.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Instituto de Comercialización Agrícola</w:t>
      </w:r>
      <w:r w:rsidR="000A4948" w:rsidRPr="007223FB">
        <w:rPr>
          <w:b/>
          <w:lang w:val="es-ES" w:eastAsia="es-GT"/>
        </w:rPr>
        <w:t xml:space="preserve"> –INDECA-</w:t>
      </w:r>
    </w:p>
    <w:p w:rsidR="00DB33D9" w:rsidRPr="007223FB" w:rsidRDefault="00DB33D9" w:rsidP="001617C9">
      <w:pPr>
        <w:autoSpaceDE w:val="0"/>
        <w:autoSpaceDN w:val="0"/>
        <w:adjustRightInd w:val="0"/>
        <w:spacing w:before="120" w:after="120" w:line="240" w:lineRule="auto"/>
        <w:rPr>
          <w:rFonts w:eastAsia="Times New Roman" w:cs="Times New Roman"/>
          <w:bCs/>
          <w:lang w:eastAsia="es-ES"/>
        </w:rPr>
      </w:pPr>
      <w:r w:rsidRPr="007223FB">
        <w:rPr>
          <w:rFonts w:eastAsia="Times New Roman" w:cs="Times New Roman"/>
          <w:bCs/>
          <w:lang w:eastAsia="es-ES"/>
        </w:rPr>
        <w:t xml:space="preserve">El Indeca para el cumplimiento de sus funciones define un resultado institucional </w:t>
      </w:r>
      <w:r w:rsidRPr="007223FB">
        <w:rPr>
          <w:rFonts w:eastAsia="Times New Roman" w:cs="Times New Roman"/>
          <w:bCs/>
          <w:i/>
          <w:lang w:eastAsia="es-ES"/>
        </w:rPr>
        <w:t>“En el año 2019 se ha reducido el número de familias en riesgo de inseguridad alimentaria y se ha atendido a la población vulnerable a través del manejo aproximadamente de 3,040 Tm promedio mensuales de existencia diarias para un total de 36,500Tm”</w:t>
      </w:r>
      <w:r w:rsidRPr="007223FB">
        <w:rPr>
          <w:rFonts w:eastAsia="Times New Roman" w:cs="Times New Roman"/>
          <w:bCs/>
          <w:lang w:eastAsia="es-ES"/>
        </w:rPr>
        <w:t xml:space="preserve">, presenta un único producto </w:t>
      </w:r>
      <w:r w:rsidRPr="007223FB">
        <w:rPr>
          <w:rFonts w:eastAsia="Times New Roman" w:cs="Times New Roman"/>
          <w:bCs/>
          <w:i/>
          <w:lang w:eastAsia="es-ES"/>
        </w:rPr>
        <w:t xml:space="preserve">“Resguardo y conservación de alimentos en bodegas para beneficio de la población” </w:t>
      </w:r>
      <w:r w:rsidRPr="007223FB">
        <w:rPr>
          <w:rFonts w:eastAsia="Times New Roman" w:cs="Times New Roman"/>
          <w:bCs/>
          <w:lang w:eastAsia="es-ES"/>
        </w:rPr>
        <w:t xml:space="preserve">tiene una meta vigente de 36,500 Tm,  refleja avances en el segundo cuatrimestre siendo la ejecución física de 7,621.56 Tm equivalente al 20.88% y una ejecución financiera de Q.347 millones alcanzando el 38.86%. </w:t>
      </w:r>
    </w:p>
    <w:p w:rsidR="00DB33D9" w:rsidRPr="007223FB" w:rsidRDefault="00DB33D9" w:rsidP="001617C9">
      <w:pPr>
        <w:spacing w:before="120" w:after="120" w:line="240" w:lineRule="auto"/>
        <w:rPr>
          <w:lang w:val="es-MX"/>
        </w:rPr>
      </w:pPr>
      <w:r w:rsidRPr="007223FB">
        <w:rPr>
          <w:lang w:val="es-MX"/>
        </w:rPr>
        <w:t xml:space="preserve">El presupuesto inicial y vigente del INDECA es Q. 17.5 millones, para el segundo cuatrimestre ejecutó Q. </w:t>
      </w:r>
      <w:r w:rsidR="00FB277B" w:rsidRPr="007223FB">
        <w:rPr>
          <w:lang w:val="es-MX"/>
        </w:rPr>
        <w:t>4.53 millones</w:t>
      </w:r>
      <w:r w:rsidRPr="007223FB">
        <w:rPr>
          <w:lang w:val="es-MX"/>
        </w:rPr>
        <w:t xml:space="preserve"> que equivale a un 25.89% y un acumulado de enero a agosto de Q. 7.68 millones durante el ejercicio fiscal 2019.  </w:t>
      </w:r>
    </w:p>
    <w:p w:rsidR="00921A25" w:rsidRPr="007223FB" w:rsidRDefault="00921A25" w:rsidP="000B07D9">
      <w:pPr>
        <w:pStyle w:val="Prrafodelista"/>
        <w:numPr>
          <w:ilvl w:val="0"/>
          <w:numId w:val="5"/>
        </w:numPr>
        <w:spacing w:before="120" w:after="120" w:line="240" w:lineRule="auto"/>
        <w:contextualSpacing w:val="0"/>
        <w:rPr>
          <w:rFonts w:cs="Candara,Bold"/>
          <w:b/>
          <w:bCs/>
        </w:rPr>
      </w:pPr>
      <w:r w:rsidRPr="007223FB">
        <w:rPr>
          <w:rFonts w:cs="Candara,Bold"/>
          <w:b/>
          <w:bCs/>
        </w:rPr>
        <w:t>Insp</w:t>
      </w:r>
      <w:r w:rsidR="000A4948" w:rsidRPr="007223FB">
        <w:rPr>
          <w:rFonts w:cs="Candara,Bold"/>
          <w:b/>
          <w:bCs/>
        </w:rPr>
        <w:t>ección General de Cooperativas –INGECOP-</w:t>
      </w:r>
    </w:p>
    <w:p w:rsidR="00921A25" w:rsidRPr="007223FB" w:rsidRDefault="00921A25" w:rsidP="001617C9">
      <w:pPr>
        <w:spacing w:before="120" w:after="120" w:line="240" w:lineRule="auto"/>
        <w:rPr>
          <w:rFonts w:eastAsia="Calibri" w:cs="Arial"/>
          <w:lang w:val="es-MX"/>
        </w:rPr>
      </w:pPr>
      <w:r w:rsidRPr="007223FB">
        <w:rPr>
          <w:rFonts w:eastAsia="Calibri" w:cs="Arial"/>
          <w:lang w:val="es-MX"/>
        </w:rPr>
        <w:t xml:space="preserve">La Inspección General de Cooperativas (INGECOP) tiene como mandato principal la fiscalización y vigilancia permanente de las cooperativas, federaciones y confederación de cooperativas según la </w:t>
      </w:r>
      <w:r w:rsidRPr="007223FB">
        <w:rPr>
          <w:rFonts w:eastAsia="Calibri" w:cs="Arial"/>
          <w:lang w:val="es-MX"/>
        </w:rPr>
        <w:lastRenderedPageBreak/>
        <w:t>Ley General de Cooperativas Decreto, contribuyendo así al desarrollo cooperativo en el país. De manera resumida, sus principales funciones y atribuciones: Cumplir y hacer cumplir las leyes, reglamentos y disposiciones aplicables a las entidades sujetas a su control; Revisar regularmente las operaciones de las asociaciones cooperativas, efectuando inspecciones, arqueos y otras verificaciones convenientes al menos una vez al año; Proporcionar a las asociaciones bajo su control las recomendaciones que estimare convenientes.</w:t>
      </w:r>
    </w:p>
    <w:p w:rsidR="00921A25" w:rsidRPr="007223FB" w:rsidRDefault="00921A25" w:rsidP="001617C9">
      <w:pPr>
        <w:spacing w:before="120" w:after="120" w:line="240" w:lineRule="auto"/>
      </w:pPr>
      <w:r w:rsidRPr="007223FB">
        <w:rPr>
          <w:rFonts w:eastAsia="Calibri" w:cs="Arial"/>
          <w:lang w:val="es-MX"/>
        </w:rPr>
        <w:t xml:space="preserve">El resultado institucional planteado por </w:t>
      </w:r>
      <w:r w:rsidRPr="007223FB">
        <w:rPr>
          <w:lang w:val="es-MX"/>
        </w:rPr>
        <w:t xml:space="preserve">INGECOP: “Para el 2023 incrementar la cobertura de fiscalización y vigilancia permanente a las asociaciones cooperativas a nivel nacional en un 31 por ciento sobre la línea base 2017, del 175 a 833 cooperativas fiscalizadas para un total de 39 por ciento”.  Es alimentado por un solo producto denominado “Cooperativas fiscalizadas” mediante el cual se </w:t>
      </w:r>
      <w:r w:rsidRPr="007223FB">
        <w:t>consigue implementar diversos procesos de fiscalización a cooperativas y entes regulados por la ley General de Cooperativas, mejorando el número de cooperativas que fueron favorecidas con el debido acompañamiento y asesoría en temáticas sobre servicios de auditoría y su debido seguimiento, con una meta inicial de 568 entidades de abordaje, manteniéndose vigente al 31 de agosto 2019, con avance de 379 y ejecución del 66.73% en el segundo cuatrimestre y también en el acumulando.</w:t>
      </w:r>
    </w:p>
    <w:p w:rsidR="00921A25" w:rsidRPr="007223FB" w:rsidRDefault="00921A25" w:rsidP="001617C9">
      <w:pPr>
        <w:spacing w:before="120" w:after="120" w:line="240" w:lineRule="auto"/>
      </w:pPr>
      <w:r w:rsidRPr="007223FB">
        <w:t xml:space="preserve">Para el año fiscal 2019 la INGECOP presenta un presupuesto inicial de Q. 20.80 millones el cual se mantuvo vigente al segundo cuatrimestre 2019. La ejecución del cuatrimestre es de Q. 7.34 millones y 35.33% de ejecución, acumulado es de Q. 11.76 millones que equivale a un 56.56%.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Ministerio Público</w:t>
      </w:r>
      <w:r w:rsidR="000A4948" w:rsidRPr="007223FB">
        <w:rPr>
          <w:b/>
          <w:lang w:val="es-ES" w:eastAsia="es-GT"/>
        </w:rPr>
        <w:t xml:space="preserve"> –MP-</w:t>
      </w:r>
    </w:p>
    <w:p w:rsidR="00934311" w:rsidRPr="007223FB" w:rsidRDefault="00934311" w:rsidP="001617C9">
      <w:pPr>
        <w:spacing w:before="120" w:after="120" w:line="240" w:lineRule="auto"/>
      </w:pPr>
      <w:r w:rsidRPr="007223FB">
        <w:t xml:space="preserve">El Ministerio Público es una institución auxiliar de la administración de justicia con funciones autónomas, cuyos fines principales son velar por el estricto cumplimiento de las leyes del país. Así mismo la Ley Orgánica del Ministerio Público la define como una institución que promueve la persecución penal además de dirigir la investigación de los delitos de acción pública. </w:t>
      </w:r>
    </w:p>
    <w:p w:rsidR="00934311" w:rsidRPr="007223FB" w:rsidRDefault="00934311" w:rsidP="001617C9">
      <w:pPr>
        <w:spacing w:before="120" w:after="120" w:line="240" w:lineRule="auto"/>
      </w:pPr>
      <w:r w:rsidRPr="007223FB">
        <w:t xml:space="preserve">Resultado Estratégico del Ministerio Público: </w:t>
      </w:r>
    </w:p>
    <w:p w:rsidR="00934311" w:rsidRPr="007223FB" w:rsidRDefault="00934311" w:rsidP="001617C9">
      <w:pPr>
        <w:spacing w:before="120" w:after="120" w:line="240" w:lineRule="auto"/>
      </w:pPr>
      <w:r w:rsidRPr="007223FB">
        <w:t xml:space="preserve">Reducir el índice de percepción de la corrupción, llevando a Guatemala desde el puesto 32 en el 2014 hasta situarla en el puesto 50 en 2019. Se cuenta con el producto: Denuncias de corrupción atendidas. </w:t>
      </w:r>
    </w:p>
    <w:p w:rsidR="00934311" w:rsidRPr="007223FB" w:rsidRDefault="00934311" w:rsidP="001617C9">
      <w:pPr>
        <w:spacing w:before="120" w:after="120" w:line="240" w:lineRule="auto"/>
        <w:rPr>
          <w:bCs/>
        </w:rPr>
      </w:pPr>
      <w:r w:rsidRPr="007223FB">
        <w:t>La institución cuenta con un presupuesto vigente de Q 2,433.4 millones. En lo que respecta a la ejecución cuatrimestral mayo- agosto, se tiene un avance financiero de Q 463.79</w:t>
      </w:r>
      <w:r w:rsidRPr="007223FB">
        <w:rPr>
          <w:bCs/>
        </w:rPr>
        <w:t xml:space="preserve"> millones equivalente a un 19.06 %, acumulado de 35.5%. Con respecto a los resultados institucionales, se tienen:</w:t>
      </w:r>
    </w:p>
    <w:p w:rsidR="00934311" w:rsidRPr="007223FB" w:rsidRDefault="00934311" w:rsidP="001617C9">
      <w:pPr>
        <w:spacing w:before="120" w:after="120" w:line="240" w:lineRule="auto"/>
        <w:rPr>
          <w:bCs/>
        </w:rPr>
      </w:pPr>
      <w:r w:rsidRPr="007223FB">
        <w:rPr>
          <w:bCs/>
        </w:rPr>
        <w:t>-Aumentar en 3.23% el número de investigaciones de denuncias de las víctimas al año 2019 sobre la línea base del 2014 de 398,120 denuncias atendidas.</w:t>
      </w:r>
    </w:p>
    <w:p w:rsidR="00934311" w:rsidRPr="007223FB" w:rsidRDefault="00934311" w:rsidP="001617C9">
      <w:pPr>
        <w:spacing w:before="120" w:after="120" w:line="240" w:lineRule="auto"/>
        <w:rPr>
          <w:bCs/>
        </w:rPr>
      </w:pPr>
      <w:r w:rsidRPr="007223FB">
        <w:rPr>
          <w:bCs/>
        </w:rPr>
        <w:t>-Aumentar en 7.25% la atención a víctimas de manera integral en el año 2019 sobre la línea base del 2014 de 398,120 denuncias atendidas.</w:t>
      </w:r>
    </w:p>
    <w:p w:rsidR="00934311" w:rsidRPr="007223FB" w:rsidRDefault="00934311" w:rsidP="001617C9">
      <w:pPr>
        <w:spacing w:before="120" w:after="120" w:line="240" w:lineRule="auto"/>
        <w:rPr>
          <w:bCs/>
        </w:rPr>
      </w:pPr>
      <w:r w:rsidRPr="007223FB">
        <w:rPr>
          <w:bCs/>
        </w:rPr>
        <w:t>-Incrementar en 16.66% la atención de denuncias a nivel nacional en el año 2019 sobre la línea base del 2014 de 398,120 denuncias atendidas.</w:t>
      </w:r>
    </w:p>
    <w:p w:rsidR="00934311" w:rsidRPr="007223FB" w:rsidRDefault="00934311" w:rsidP="001617C9">
      <w:pPr>
        <w:spacing w:before="120" w:after="120" w:line="240" w:lineRule="auto"/>
        <w:rPr>
          <w:bCs/>
        </w:rPr>
      </w:pPr>
      <w:r w:rsidRPr="007223FB">
        <w:rPr>
          <w:bCs/>
        </w:rPr>
        <w:t>De acuerdo con la información analizada, la institución está realizando esfuerzos para alcanzar los resultados institucionales propuestos, sin embargo aún es necesario fortalecer lo relacionado a investigaciones realizadas, especialmente la producción asociada al apoyo para el análisis criminal.</w:t>
      </w:r>
    </w:p>
    <w:p w:rsidR="00934311" w:rsidRPr="007223FB" w:rsidRDefault="00934311" w:rsidP="001617C9">
      <w:pPr>
        <w:spacing w:before="120" w:after="120" w:line="240" w:lineRule="auto"/>
        <w:rPr>
          <w:bCs/>
        </w:rPr>
      </w:pPr>
      <w:r w:rsidRPr="007223FB">
        <w:rPr>
          <w:bCs/>
        </w:rPr>
        <w:t>De forma general, es posible afirmar que debido a la coyuntura electoral, se observó una baja ejecución presupuestaria lo cual es común a la mayoría de instituciones.</w:t>
      </w:r>
    </w:p>
    <w:p w:rsidR="009B30CD" w:rsidRDefault="009B30CD">
      <w:pPr>
        <w:jc w:val="left"/>
        <w:rPr>
          <w:b/>
          <w:lang w:val="es-ES" w:eastAsia="es-GT"/>
        </w:rPr>
      </w:pPr>
      <w:r>
        <w:rPr>
          <w:b/>
          <w:lang w:val="es-ES" w:eastAsia="es-GT"/>
        </w:rPr>
        <w:lastRenderedPageBreak/>
        <w:br w:type="page"/>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Procuraduría de los Derechos Humanos</w:t>
      </w:r>
      <w:r w:rsidR="000A4948" w:rsidRPr="007223FB">
        <w:rPr>
          <w:b/>
          <w:lang w:val="es-ES" w:eastAsia="es-GT"/>
        </w:rPr>
        <w:t xml:space="preserve"> –PDH-</w:t>
      </w:r>
    </w:p>
    <w:p w:rsidR="002E0FC7" w:rsidRPr="007223FB" w:rsidRDefault="002E0FC7" w:rsidP="001617C9">
      <w:pPr>
        <w:autoSpaceDE w:val="0"/>
        <w:autoSpaceDN w:val="0"/>
        <w:adjustRightInd w:val="0"/>
        <w:spacing w:before="120" w:after="120" w:line="240" w:lineRule="auto"/>
        <w:rPr>
          <w:rFonts w:cs="Candara"/>
        </w:rPr>
      </w:pPr>
      <w:r w:rsidRPr="007223FB">
        <w:rPr>
          <w:rFonts w:cs="Candara"/>
        </w:rPr>
        <w:t>Es importante la institución del Procurador como comisionado del Congreso de la República para la defensa de los Derechos Humanos entendidos como los derechos individuales, sociales, cívicos, culturales y políticos, de manera fundamental la vida, la libertad, la justicia, la paz, la dignidad y la igualdad de la persona humana, mediante acciones de promoción, difusión, procuración, mediación y supervisión del Estado, en seguimiento a las normas de carácter interno y en consonancia con normas internacionales en materia de Derechos Fundamentales.</w:t>
      </w:r>
    </w:p>
    <w:p w:rsidR="007E7ABD" w:rsidRPr="007223FB" w:rsidRDefault="007E7ABD" w:rsidP="001617C9">
      <w:pPr>
        <w:spacing w:before="120" w:after="120" w:line="240" w:lineRule="auto"/>
        <w:rPr>
          <w:rFonts w:cs="Candara"/>
        </w:rPr>
      </w:pPr>
      <w:r w:rsidRPr="007223FB">
        <w:t xml:space="preserve">Resultado Estratégico de la Procuraduría de los Derechos Humanos (PDH): </w:t>
      </w:r>
    </w:p>
    <w:p w:rsidR="007E7ABD" w:rsidRPr="007223FB" w:rsidRDefault="007E7ABD" w:rsidP="001617C9">
      <w:pPr>
        <w:autoSpaceDE w:val="0"/>
        <w:autoSpaceDN w:val="0"/>
        <w:adjustRightInd w:val="0"/>
        <w:spacing w:before="120" w:after="120" w:line="240" w:lineRule="auto"/>
        <w:rPr>
          <w:rFonts w:cs="Candara"/>
        </w:rPr>
      </w:pPr>
      <w:r w:rsidRPr="007223FB">
        <w:rPr>
          <w:rFonts w:cs="Candara"/>
        </w:rPr>
        <w:t>Aumentar la efectividad de la Gobernanza, llevándola de 25 en 2014 a 50 en 2019. Se cuenta con el producto: Supervisión A Sujetos Obligados Del Cumplimiento De La Ley De Acceso A La Información Pública.</w:t>
      </w:r>
    </w:p>
    <w:p w:rsidR="002E0FC7" w:rsidRPr="007223FB" w:rsidRDefault="002E0FC7" w:rsidP="001617C9">
      <w:pPr>
        <w:spacing w:before="120" w:after="120" w:line="240" w:lineRule="auto"/>
        <w:rPr>
          <w:bCs/>
        </w:rPr>
      </w:pPr>
      <w:r w:rsidRPr="007223FB">
        <w:t>La institución cuenta con un presupuesto vigente de Q 100.13 millones. En lo que respecta a la ejecución cuatrimestral mayo- agosto, se tiene un avance financiero de Q 36.75</w:t>
      </w:r>
      <w:r w:rsidRPr="007223FB">
        <w:rPr>
          <w:bCs/>
        </w:rPr>
        <w:t xml:space="preserve"> millones equivalente a un 36.71%</w:t>
      </w:r>
      <w:r w:rsidR="00C2658C" w:rsidRPr="007223FB">
        <w:rPr>
          <w:bCs/>
        </w:rPr>
        <w:t>, acumulado de 66.27%.</w:t>
      </w:r>
      <w:r w:rsidRPr="007223FB">
        <w:rPr>
          <w:bCs/>
        </w:rPr>
        <w:t xml:space="preserve"> Con respecto a los resultados institucionales, se tienen:</w:t>
      </w:r>
    </w:p>
    <w:p w:rsidR="002E0FC7" w:rsidRPr="007223FB" w:rsidRDefault="002E0FC7" w:rsidP="001617C9">
      <w:pPr>
        <w:autoSpaceDE w:val="0"/>
        <w:autoSpaceDN w:val="0"/>
        <w:adjustRightInd w:val="0"/>
        <w:spacing w:before="120" w:after="120" w:line="240" w:lineRule="auto"/>
        <w:rPr>
          <w:rFonts w:cs="Candara"/>
        </w:rPr>
      </w:pPr>
      <w:r w:rsidRPr="007223FB">
        <w:rPr>
          <w:rFonts w:cs="Candara"/>
        </w:rPr>
        <w:t>-Para el 2023, 500,000 personas se capacitarán y orientarán sobre Derechos Humanos.</w:t>
      </w:r>
    </w:p>
    <w:p w:rsidR="002E0FC7" w:rsidRPr="007223FB" w:rsidRDefault="002E0FC7" w:rsidP="001617C9">
      <w:pPr>
        <w:autoSpaceDE w:val="0"/>
        <w:autoSpaceDN w:val="0"/>
        <w:adjustRightInd w:val="0"/>
        <w:spacing w:before="120" w:after="120" w:line="240" w:lineRule="auto"/>
        <w:rPr>
          <w:rFonts w:cs="Candara"/>
        </w:rPr>
      </w:pPr>
      <w:r w:rsidRPr="007223FB">
        <w:rPr>
          <w:rFonts w:cs="Candara"/>
        </w:rPr>
        <w:t>-Para el 2023 el 100% de los Sujetos Obligados cumplen con la Transparencia Activa de la Ley de Acceso a la Información Pública.</w:t>
      </w:r>
    </w:p>
    <w:p w:rsidR="002E0FC7" w:rsidRPr="007223FB" w:rsidRDefault="002E0FC7" w:rsidP="001617C9">
      <w:pPr>
        <w:autoSpaceDE w:val="0"/>
        <w:autoSpaceDN w:val="0"/>
        <w:adjustRightInd w:val="0"/>
        <w:spacing w:before="120" w:after="120" w:line="240" w:lineRule="auto"/>
        <w:rPr>
          <w:rFonts w:cs="Candara"/>
        </w:rPr>
      </w:pPr>
      <w:r w:rsidRPr="007223FB">
        <w:rPr>
          <w:rFonts w:cs="Candara"/>
        </w:rPr>
        <w:t>-Para el 2023 se incrementarán en 35% las intervenciones en la Prevención Defensa y Protección de los Derechos Humanos.</w:t>
      </w:r>
    </w:p>
    <w:p w:rsidR="002E0FC7" w:rsidRPr="007223FB" w:rsidRDefault="002E0FC7" w:rsidP="001617C9">
      <w:pPr>
        <w:autoSpaceDE w:val="0"/>
        <w:autoSpaceDN w:val="0"/>
        <w:adjustRightInd w:val="0"/>
        <w:spacing w:before="120" w:after="120" w:line="240" w:lineRule="auto"/>
        <w:rPr>
          <w:rFonts w:cs="Candara"/>
        </w:rPr>
      </w:pPr>
      <w:r w:rsidRPr="007223FB">
        <w:rPr>
          <w:bCs/>
        </w:rPr>
        <w:t xml:space="preserve">De acuerdo con la información analizada, la institución está realizando esfuerzos para alcanzar los resultados institucionales propuestos. A pesar de no contar con una asignación presupuestaria elevada, se observó que la institución ha distribuido equitativamente su presupuesto en su producción la cual se vincula efectivamente a su mandato. </w:t>
      </w:r>
    </w:p>
    <w:p w:rsidR="006B05FA"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Registro Nacional de las Personas</w:t>
      </w:r>
      <w:r w:rsidR="004745DE" w:rsidRPr="007223FB">
        <w:rPr>
          <w:b/>
          <w:lang w:val="es-ES" w:eastAsia="es-GT"/>
        </w:rPr>
        <w:t xml:space="preserve"> – RENAP-</w:t>
      </w:r>
    </w:p>
    <w:p w:rsidR="00A63315" w:rsidRPr="00A63315" w:rsidRDefault="00A63315" w:rsidP="001617C9">
      <w:pPr>
        <w:pStyle w:val="Prrafodelista"/>
        <w:autoSpaceDE w:val="0"/>
        <w:autoSpaceDN w:val="0"/>
        <w:adjustRightInd w:val="0"/>
        <w:spacing w:before="120" w:after="120" w:line="240" w:lineRule="auto"/>
        <w:ind w:left="0"/>
        <w:contextualSpacing w:val="0"/>
        <w:rPr>
          <w:rFonts w:eastAsia="Candara" w:cs="Candara"/>
          <w:spacing w:val="-3"/>
        </w:rPr>
      </w:pPr>
      <w:r w:rsidRPr="00A63315">
        <w:rPr>
          <w:rFonts w:eastAsia="Candara" w:cs="Candara"/>
          <w:spacing w:val="-3"/>
        </w:rPr>
        <w:t xml:space="preserve">El Decreto 90-2005 del Congreso de la República, “Ley del Registro Nacional de las Personas” constituye el marco y sustento que orienta las acciones institucionales. El Renap es </w:t>
      </w:r>
      <w:r w:rsidR="00FB277B" w:rsidRPr="00A63315">
        <w:rPr>
          <w:rFonts w:eastAsia="Candara" w:cs="Candara"/>
          <w:spacing w:val="-3"/>
        </w:rPr>
        <w:t>el responsable</w:t>
      </w:r>
      <w:r w:rsidRPr="00A63315">
        <w:rPr>
          <w:rFonts w:eastAsia="Candara" w:cs="Candara"/>
          <w:spacing w:val="-3"/>
        </w:rPr>
        <w:t xml:space="preserve"> de organizar y mantener el registro único de identificación de las personas naturales, inscribir los hechos y actos relativos a su estado y capacidad civil, así como los datos de identificación; de igual forma contempla la emisión del Documento Personal de Identificación (DPI) de los guatemaltecos, tanto a los residentes en el país como en el extranjero.  </w:t>
      </w:r>
    </w:p>
    <w:p w:rsidR="00A63315" w:rsidRPr="00A63315" w:rsidRDefault="00A63315" w:rsidP="001617C9">
      <w:pPr>
        <w:pStyle w:val="Prrafodelista"/>
        <w:spacing w:before="120" w:after="120" w:line="240" w:lineRule="auto"/>
        <w:ind w:left="0"/>
        <w:contextualSpacing w:val="0"/>
        <w:rPr>
          <w:lang w:val="es-ES" w:eastAsia="es-GT"/>
        </w:rPr>
      </w:pPr>
      <w:r w:rsidRPr="00A63315">
        <w:rPr>
          <w:rFonts w:eastAsia="Candara" w:cs="Candara"/>
          <w:spacing w:val="-3"/>
        </w:rPr>
        <w:t>El Renap cuenta con un presupuesto inicial de Q 455 millones y un presupuesto vigente de Q 464.2 millones y una ejecución para el cuatrimestre de Q 113.9 millones correspondiente a un 24% y acumulada de Q 205 millones equivalente a 44%.  Presenta avances en metas físicas para de la forma siguiente: Documentos personales de identificación DPI emitidos 32% para el cuatrimestre y acumulado de 68%, Servicios registrales a personas naturales realizados 31% para el cuatrimestre y acumulado de 67%, Servicios de verificación de identidad y apoyo social 43% para el cuatrimestre y 74% acumulado.</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Registro General de la Propiedad</w:t>
      </w:r>
      <w:r w:rsidR="000A4948" w:rsidRPr="007223FB">
        <w:rPr>
          <w:b/>
          <w:lang w:val="es-ES" w:eastAsia="es-GT"/>
        </w:rPr>
        <w:t xml:space="preserve"> –RGP-</w:t>
      </w:r>
    </w:p>
    <w:p w:rsidR="003A18DA" w:rsidRPr="007223FB" w:rsidRDefault="003A18DA" w:rsidP="001617C9">
      <w:pPr>
        <w:autoSpaceDE w:val="0"/>
        <w:autoSpaceDN w:val="0"/>
        <w:adjustRightInd w:val="0"/>
        <w:spacing w:before="120" w:after="120" w:line="240" w:lineRule="auto"/>
        <w:rPr>
          <w:rFonts w:cs="Candara"/>
        </w:rPr>
      </w:pPr>
      <w:r w:rsidRPr="007223FB">
        <w:rPr>
          <w:rFonts w:cs="Candara"/>
        </w:rPr>
        <w:t xml:space="preserve">El Registro General de la Propiedad, tiene como función fundamental prestar servicios de operaciones registrales y emisión de certificaciones. Registran un solo resultado institucional “La inscripción, anotación y cancelación de los actos y contratos relativos al dominio y demás derechos reales sobre bienes inmuebles y muebles identificables” del cual vinculan 16 productos con igual número de subproductos, de los cuales los 16 se encuentran en 66.67% de avance acumulado </w:t>
      </w:r>
      <w:r w:rsidRPr="007223FB">
        <w:rPr>
          <w:rFonts w:cs="Candara"/>
        </w:rPr>
        <w:lastRenderedPageBreak/>
        <w:t xml:space="preserve">respectivamente. En el contexto presupuestario la institución opera con sus propios recursos contando con un presupuesto inicial de Q161.06 millones, mismo que se mantuvo vigente al segundo cuatrimestre 2019, de los cuales presenta un avance de ejecución Q 96.03 millones el equivalente a 59.63% acumulado.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Registro de Información Catastral</w:t>
      </w:r>
      <w:r w:rsidR="000A4948" w:rsidRPr="007223FB">
        <w:rPr>
          <w:b/>
          <w:lang w:val="es-ES" w:eastAsia="es-GT"/>
        </w:rPr>
        <w:t xml:space="preserve"> –RIC-</w:t>
      </w:r>
    </w:p>
    <w:p w:rsidR="00DB33D9" w:rsidRPr="007223FB" w:rsidRDefault="00DB33D9" w:rsidP="001617C9">
      <w:pPr>
        <w:autoSpaceDE w:val="0"/>
        <w:autoSpaceDN w:val="0"/>
        <w:adjustRightInd w:val="0"/>
        <w:spacing w:before="120" w:after="120" w:line="240" w:lineRule="auto"/>
        <w:rPr>
          <w:rFonts w:cs="Candara"/>
          <w:highlight w:val="yellow"/>
        </w:rPr>
      </w:pPr>
      <w:r w:rsidRPr="007223FB">
        <w:rPr>
          <w:rFonts w:cs="Candara"/>
        </w:rPr>
        <w:t xml:space="preserve">El RIC establece un resultado institucional RI: </w:t>
      </w:r>
      <w:r w:rsidRPr="007223FB">
        <w:rPr>
          <w:rFonts w:cs="Candara"/>
          <w:i/>
        </w:rPr>
        <w:t xml:space="preserve">“Para el 2019 incrementar el número de municipios declarados catastrados de 13 a 16” </w:t>
      </w:r>
      <w:r w:rsidRPr="007223FB">
        <w:rPr>
          <w:rFonts w:cs="Candara"/>
        </w:rPr>
        <w:t xml:space="preserve">el cual plantea seis productos, para el producto </w:t>
      </w:r>
      <w:r w:rsidRPr="007223FB">
        <w:rPr>
          <w:rFonts w:cs="Candara"/>
          <w:i/>
        </w:rPr>
        <w:t xml:space="preserve">“Municipios que finalizan y municipios priorizados para avanzar con el proceso de establecimiento catastral” </w:t>
      </w:r>
      <w:r w:rsidRPr="007223FB">
        <w:rPr>
          <w:rFonts w:cs="Candara"/>
        </w:rPr>
        <w:t xml:space="preserve">se tiene una planificación y vigencia de meta física de 11 documentos siendo el avance de 9.09% equivalente a un municipio finalizado, y una ejecución presupuestaria del 26.81% con un monto de Q.6.38 millones; para el producto </w:t>
      </w:r>
      <w:r w:rsidRPr="007223FB">
        <w:rPr>
          <w:rFonts w:cs="Candara"/>
          <w:i/>
        </w:rPr>
        <w:t xml:space="preserve">“Municipalidades que hacen uso multifinalitario de la información catastral” </w:t>
      </w:r>
      <w:r w:rsidRPr="007223FB">
        <w:rPr>
          <w:rFonts w:cs="Candara"/>
        </w:rPr>
        <w:t xml:space="preserve">la meta vigente son 15 documentos el avance físico es del 26.67%, con un total de 4 documentos  y una ejecución presupuestaria de Q.0.9 millones; el producto </w:t>
      </w:r>
      <w:r w:rsidRPr="007223FB">
        <w:rPr>
          <w:rFonts w:cs="Candara"/>
          <w:i/>
        </w:rPr>
        <w:t xml:space="preserve">“Predios con actualización y mantenimiento catastral” </w:t>
      </w:r>
      <w:r w:rsidRPr="007223FB">
        <w:rPr>
          <w:rFonts w:cs="Candara"/>
        </w:rPr>
        <w:t xml:space="preserve">la meta vigente son 9,831 documentos el avance físico del segundo cuatrimestre es de 5,143 documentos equivalente al 52.31% y la ejecución presupuestaria de Q.0.50 millones; para el producto </w:t>
      </w:r>
      <w:r w:rsidRPr="007223FB">
        <w:rPr>
          <w:rFonts w:cs="Candara"/>
          <w:i/>
        </w:rPr>
        <w:t xml:space="preserve">“Predios con declaratoria de predios catastrados y tierra comunal” </w:t>
      </w:r>
      <w:r w:rsidRPr="007223FB">
        <w:rPr>
          <w:rFonts w:cs="Candara"/>
        </w:rPr>
        <w:t xml:space="preserve">tienen una meta vigente de 4 documentos, para el segundo cuatrimestre no tienen ejecución física, la ejecución financiera es de Q. 0.09 millones; el producto </w:t>
      </w:r>
      <w:r w:rsidRPr="007223FB">
        <w:rPr>
          <w:rFonts w:cs="Candara"/>
          <w:i/>
        </w:rPr>
        <w:t>“Catastro infraestructura de datos para el Sistema Registro Catastro en el mantenimiento de la Información Catastral en Zonas Declaradas Catastradas”</w:t>
      </w:r>
      <w:r w:rsidRPr="007223FB">
        <w:rPr>
          <w:rFonts w:cs="Candara"/>
        </w:rPr>
        <w:t xml:space="preserve"> tiene una meta vigente de 3,870 planos, para el segundo cuatrimestre el avance </w:t>
      </w:r>
      <w:r w:rsidR="000A4948" w:rsidRPr="007223FB">
        <w:rPr>
          <w:rFonts w:cs="Candara"/>
        </w:rPr>
        <w:t>físico fue</w:t>
      </w:r>
      <w:r w:rsidRPr="007223FB">
        <w:rPr>
          <w:rFonts w:cs="Candara"/>
        </w:rPr>
        <w:t xml:space="preserve"> de 580 planos equivalente al 15% y la ejecución financiera es de Q. 1.16 millones; y el producto </w:t>
      </w:r>
      <w:r w:rsidRPr="007223FB">
        <w:rPr>
          <w:rFonts w:cs="Candara"/>
          <w:i/>
        </w:rPr>
        <w:t>“Catastro en 18 municipios de 6 departamentos que incluyen áreas protegidas”</w:t>
      </w:r>
      <w:r w:rsidRPr="007223FB">
        <w:rPr>
          <w:rFonts w:cs="Candara"/>
        </w:rPr>
        <w:t xml:space="preserve"> se tiene planificado y vigencia de la meta de 4 documentos, el avance físico fue de 2 documentos en el segundo cuatrimestre equivalente al 50% y la ejecución financiera es de Q. 1.85 millones equivalente al 58.59%. </w:t>
      </w:r>
    </w:p>
    <w:p w:rsidR="00DB33D9" w:rsidRPr="007223FB" w:rsidRDefault="00DB33D9" w:rsidP="001617C9">
      <w:pPr>
        <w:autoSpaceDE w:val="0"/>
        <w:autoSpaceDN w:val="0"/>
        <w:adjustRightInd w:val="0"/>
        <w:spacing w:before="120" w:after="120" w:line="240" w:lineRule="auto"/>
        <w:rPr>
          <w:rFonts w:cs="Candara"/>
        </w:rPr>
      </w:pPr>
      <w:r w:rsidRPr="007223FB">
        <w:rPr>
          <w:rFonts w:cs="Candara"/>
        </w:rPr>
        <w:t xml:space="preserve">Dentro de la estructura programática se tienen dos productos que coadyuvan de manera transversal, para el primer producto que definen </w:t>
      </w:r>
      <w:r w:rsidRPr="007223FB">
        <w:rPr>
          <w:rFonts w:cs="Candara"/>
          <w:i/>
        </w:rPr>
        <w:t xml:space="preserve">“Cursos de formación acerca del establecimiento, mantenimiento y actualización catastral a agrimensores y personal del RIC” </w:t>
      </w:r>
      <w:r w:rsidRPr="007223FB">
        <w:rPr>
          <w:rFonts w:cs="Candara"/>
        </w:rPr>
        <w:t xml:space="preserve">se tiene planificado y vigente una meta de 89 eventos, para el segundo cuatrimestre el avance físico es de 43 eventos equivalente al 48.31% efectuando y la ejecución financiera es de Q.0.61 millones equivalente al 25.32%, para el producto que se define </w:t>
      </w:r>
      <w:r w:rsidRPr="007223FB">
        <w:rPr>
          <w:rFonts w:cs="Candara"/>
          <w:i/>
        </w:rPr>
        <w:t>“Generación de productos y servicios catastrales”</w:t>
      </w:r>
      <w:r w:rsidRPr="007223FB">
        <w:rPr>
          <w:rFonts w:cs="Candara"/>
        </w:rPr>
        <w:t xml:space="preserve"> la meta vigente es de 27,801 documentos, para el segundo cuatrimestre se tiene un avance físico de 13,760 documentos equivalente al 49.49% y una ejecución financiera de Q.1.14 millones. </w:t>
      </w:r>
    </w:p>
    <w:p w:rsidR="00DB33D9" w:rsidRPr="007223FB" w:rsidRDefault="00DB33D9" w:rsidP="001617C9">
      <w:pPr>
        <w:autoSpaceDE w:val="0"/>
        <w:autoSpaceDN w:val="0"/>
        <w:adjustRightInd w:val="0"/>
        <w:spacing w:before="120" w:after="120" w:line="240" w:lineRule="auto"/>
        <w:rPr>
          <w:lang w:val="es-MX"/>
        </w:rPr>
      </w:pPr>
      <w:r w:rsidRPr="007223FB">
        <w:rPr>
          <w:lang w:val="es-MX"/>
        </w:rPr>
        <w:t xml:space="preserve">El presupuesto inicial del RIC es Q. 110.29 millones teniendo un incremento de Q.10.0 millones, para su presupuesto vigente de Q. 120.29 millones, el segundo cuatrimestre ejecutó Q. 28.99 millones que equivale a un 24.1%, teniendo una ejecución acumulada de enero a agosto de 49.79 millones durante el ejercicio fiscal 2019.  </w:t>
      </w:r>
    </w:p>
    <w:p w:rsidR="003A18D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Segundo Registro de la Propiedad</w:t>
      </w:r>
      <w:r w:rsidR="000A4948" w:rsidRPr="007223FB">
        <w:rPr>
          <w:b/>
          <w:lang w:val="es-ES" w:eastAsia="es-GT"/>
        </w:rPr>
        <w:t xml:space="preserve"> –SRP-</w:t>
      </w:r>
    </w:p>
    <w:p w:rsidR="003A18DA" w:rsidRPr="007223FB" w:rsidRDefault="003A18DA" w:rsidP="001617C9">
      <w:pPr>
        <w:autoSpaceDE w:val="0"/>
        <w:autoSpaceDN w:val="0"/>
        <w:adjustRightInd w:val="0"/>
        <w:spacing w:before="120" w:after="120" w:line="240" w:lineRule="auto"/>
        <w:rPr>
          <w:rFonts w:cs="Candara"/>
        </w:rPr>
      </w:pPr>
      <w:r w:rsidRPr="007223FB">
        <w:rPr>
          <w:rFonts w:cs="Candara"/>
        </w:rPr>
        <w:t xml:space="preserve">El Segundo Registro de la Propiedad (SRP), bajo un solo programa presupuestario, presenta un resultado institucional “Incremento del 10% en la elaboración y entrega de operaciones y certificaciones registrales a los usuarios”, para el cual vincula dos productos: 1) “Certificaciones registrales” el cual registra 33.12% de avance al segundo cuatrimestre 2019, y “Operaciones registrales” con 37.50% de ejecución acumulada respectivamente. En términos presupuestarios el presupuesto inicial de Q 49.66 millones el cual se mantuvo vigente al segundo cuatrimestre, de los cuales registra una ejecución acumulada de Q25.76 millones, equivalentes a un 51.88% respectivamente en lo que va del año.  </w:t>
      </w:r>
    </w:p>
    <w:p w:rsidR="009B30CD" w:rsidRDefault="009B30CD">
      <w:pPr>
        <w:jc w:val="left"/>
        <w:rPr>
          <w:b/>
          <w:lang w:val="es-ES" w:eastAsia="es-GT"/>
        </w:rPr>
      </w:pPr>
      <w:r>
        <w:rPr>
          <w:b/>
          <w:lang w:val="es-ES" w:eastAsia="es-GT"/>
        </w:rPr>
        <w:lastRenderedPageBreak/>
        <w:br w:type="page"/>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lastRenderedPageBreak/>
        <w:t>Tribunal Supremo Electoral</w:t>
      </w:r>
      <w:r w:rsidR="000A4948" w:rsidRPr="007223FB">
        <w:rPr>
          <w:b/>
          <w:lang w:val="es-ES" w:eastAsia="es-GT"/>
        </w:rPr>
        <w:t xml:space="preserve"> –TSE-</w:t>
      </w:r>
    </w:p>
    <w:p w:rsidR="003A18DA" w:rsidRPr="007223FB" w:rsidRDefault="003A18DA" w:rsidP="001617C9">
      <w:pPr>
        <w:autoSpaceDE w:val="0"/>
        <w:autoSpaceDN w:val="0"/>
        <w:adjustRightInd w:val="0"/>
        <w:spacing w:before="120" w:after="120" w:line="240" w:lineRule="auto"/>
      </w:pPr>
      <w:r w:rsidRPr="007223FB">
        <w:rPr>
          <w:rFonts w:cs="Candara"/>
        </w:rPr>
        <w:t>El Tribunal Supremo Electoral como entidad autónoma del Estado, plantea dos resultados institucionales RI1 “Elecciones generales 2019”, que vincula ocho productos, con 0% de avance durante al segundo cuatrimestre; y RI2 “Registro de ciudadanos” con el producto “Coordinación gestión seguimiento y apoyo a las Delegaciones Departamentales y Subdelegaciones Municipales del Tribunal” de igual manera sin avances de ejecución. En términos presupuestarios, el presupuesto asignado inicial para el TSE fue de Q704.84 millones el cual asciende al finalizar el segundo cuatrimestre a un presupuesto vigente de Q 932.57 millones, con una ejecución de Q400.89 millones lo que equivale a 42.99</w:t>
      </w:r>
      <w:r w:rsidR="00FB277B" w:rsidRPr="007223FB">
        <w:rPr>
          <w:rFonts w:cs="Candara"/>
        </w:rPr>
        <w:t>% de</w:t>
      </w:r>
      <w:r w:rsidRPr="007223FB">
        <w:rPr>
          <w:rFonts w:cs="Candara"/>
        </w:rPr>
        <w:t xml:space="preserve"> ejecución acumulada.  </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Comité Olímpico Guatemalteco</w:t>
      </w:r>
      <w:r w:rsidR="000A4948" w:rsidRPr="007223FB">
        <w:rPr>
          <w:b/>
          <w:lang w:val="es-ES" w:eastAsia="es-GT"/>
        </w:rPr>
        <w:t xml:space="preserve"> –COG-</w:t>
      </w:r>
    </w:p>
    <w:p w:rsidR="00A535D5" w:rsidRPr="007223FB" w:rsidRDefault="00A535D5" w:rsidP="001617C9">
      <w:pPr>
        <w:autoSpaceDE w:val="0"/>
        <w:autoSpaceDN w:val="0"/>
        <w:adjustRightInd w:val="0"/>
        <w:spacing w:before="120" w:after="120" w:line="240" w:lineRule="auto"/>
        <w:rPr>
          <w:rFonts w:cs="Arial"/>
        </w:rPr>
      </w:pPr>
      <w:r w:rsidRPr="007223FB">
        <w:rPr>
          <w:lang w:val="es-MX"/>
        </w:rPr>
        <w:t>E</w:t>
      </w:r>
      <w:r w:rsidRPr="007223FB">
        <w:t xml:space="preserve">l Comité Olímpico Guatemalteco, según el Decreto 79-97, “Ley </w:t>
      </w:r>
      <w:r w:rsidRPr="007223FB">
        <w:rPr>
          <w:bCs/>
          <w:iCs/>
        </w:rPr>
        <w:t xml:space="preserve">Nacional para el desarrollo de la cultura física y el deporte” le compete </w:t>
      </w:r>
      <w:r w:rsidRPr="007223FB">
        <w:t xml:space="preserve">la articulación de procesos de preparación superación, y perfeccionamiento deportivo, en la búsqueda de logros y resultados que reflejen el alto rendimiento del deporte nacional. </w:t>
      </w:r>
      <w:r w:rsidRPr="007223FB">
        <w:rPr>
          <w:lang w:eastAsia="es-GT"/>
        </w:rPr>
        <w:t xml:space="preserve">Las intervenciones del Comité están orientadas a las </w:t>
      </w:r>
      <w:r w:rsidRPr="007223FB">
        <w:rPr>
          <w:lang w:val="es-MX"/>
        </w:rPr>
        <w:t>prioridades de gobierno: salud integral y seguridad ciudadana con las acciones de prevención a los hechos delictivos contra el patrimonio</w:t>
      </w:r>
      <w:r w:rsidRPr="007223FB">
        <w:rPr>
          <w:lang w:eastAsia="es-GT"/>
        </w:rPr>
        <w:t xml:space="preserve">, para ello el COG ha planteado seis resultados que técnicamente no están bien formulados, además ha formulado un producto por cada resultado, situación que no responde a la metodología de gestión por resultados, de los seis (6) productos, tres (3) alcanzaron el 100% de avance físico, tres intervenciones se encuentran dentro del rango de 64-98% de avance. </w:t>
      </w:r>
      <w:r w:rsidRPr="007223FB">
        <w:rPr>
          <w:lang w:val="es-MX" w:eastAsia="es-GT"/>
        </w:rPr>
        <w:t>E</w:t>
      </w:r>
      <w:r w:rsidRPr="007223FB">
        <w:rPr>
          <w:lang w:eastAsia="es-GT"/>
        </w:rPr>
        <w:t>l presupuesto vigente del Cog es de Q</w:t>
      </w:r>
      <w:r w:rsidRPr="007223FB">
        <w:rPr>
          <w:rFonts w:cs="Arial"/>
        </w:rPr>
        <w:t xml:space="preserve">104 </w:t>
      </w:r>
      <w:r w:rsidRPr="007223FB">
        <w:rPr>
          <w:bCs/>
        </w:rPr>
        <w:t>millones, l</w:t>
      </w:r>
      <w:r w:rsidRPr="007223FB">
        <w:t>a ejecución financiera en el segundo cuatrimestre asciende a Q</w:t>
      </w:r>
      <w:r w:rsidRPr="007223FB">
        <w:rPr>
          <w:rFonts w:cs="Arial"/>
        </w:rPr>
        <w:t xml:space="preserve">64.15 </w:t>
      </w:r>
      <w:r w:rsidRPr="007223FB">
        <w:t xml:space="preserve">millones que equivale a </w:t>
      </w:r>
      <w:r w:rsidRPr="007223FB">
        <w:rPr>
          <w:rFonts w:cs="Arial"/>
        </w:rPr>
        <w:t>24.21</w:t>
      </w:r>
      <w:r w:rsidRPr="007223FB">
        <w:t>%.</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Consejo Nacional del Deporte, la Educación Física y la Recreación</w:t>
      </w:r>
      <w:r w:rsidR="00A378C0" w:rsidRPr="007223FB">
        <w:rPr>
          <w:b/>
          <w:lang w:val="es-ES" w:eastAsia="es-GT"/>
        </w:rPr>
        <w:t xml:space="preserve"> –CONADER-</w:t>
      </w:r>
    </w:p>
    <w:p w:rsidR="00A535D5" w:rsidRPr="007223FB" w:rsidRDefault="00A535D5" w:rsidP="001617C9">
      <w:pPr>
        <w:spacing w:before="120" w:after="120" w:line="240" w:lineRule="auto"/>
      </w:pPr>
      <w:r w:rsidRPr="007223FB">
        <w:t xml:space="preserve">La Constitución Política de la República de Guatemala, Artículo 91 establece la una  asignación privativa no menor del tres por ciento del Presupuesto  General de Ingresos Ordinarios  del Estado para el deporte, y al Estado como órgano garante del fomento y la promoción de la educación física y el deporte, el Decreto 76-97 Ley Nacional para el Desarrollo de la Cultura Física y el Deporte, Artículo 9 establece la creación del Consejo Nacional del Deporte, Educación Física y la Recreación –Conader-, como órgano coordinador interinstitucional entre el Ministerio de Cultura y Deportes, Ministerio de Educación a través de la Dirección General de Educación Física, Confederación Deportiva Autónoma y Comité Olímpico de Guatemala, a efecto de hacer cumplir las disposiciones del artículo 134 de la Constitución Política de la República y por lo tanto desarrollar coordinadamente programas, procesos y relaciones entre la educación física, el deporte no federado, la recreación y el deporte federado. En el PEI 2019-2024 se menciona la contribución del Conader a las  meta de gobierno de aumentar la efectividad de la gobernanza vinculada al resultado institucional “Coordinación del sistema nacional de cultura física”, para ello reporta avances físicos de dos productos siendo: a) Fortalecimiento de la gestión institucional y b) Coordinación y servicios de apoyo técnico de las instituciones de la Cultura Física, Dirección General de Educación Física –DIGEF- MINEDUC, Viceministerio del Deporte y la Recreación del MCD, CDAG Y COG, ambos aún no registran avance físico. </w:t>
      </w:r>
      <w:r w:rsidRPr="007223FB">
        <w:rPr>
          <w:lang w:val="es-MX" w:eastAsia="es-GT"/>
        </w:rPr>
        <w:t>E</w:t>
      </w:r>
      <w:r w:rsidRPr="007223FB">
        <w:rPr>
          <w:lang w:eastAsia="es-GT"/>
        </w:rPr>
        <w:t>l presupuesto vigente del Conader es de Q</w:t>
      </w:r>
      <w:r w:rsidRPr="007223FB">
        <w:rPr>
          <w:rFonts w:cs="Arial"/>
        </w:rPr>
        <w:t xml:space="preserve">11.81 </w:t>
      </w:r>
      <w:r w:rsidRPr="007223FB">
        <w:rPr>
          <w:bCs/>
        </w:rPr>
        <w:t xml:space="preserve">millones. </w:t>
      </w:r>
      <w:r w:rsidRPr="007223FB">
        <w:t xml:space="preserve">La ejecución al segundo cuatrimestre </w:t>
      </w:r>
      <w:r w:rsidR="00FB277B" w:rsidRPr="007223FB">
        <w:t>fue de</w:t>
      </w:r>
      <w:r w:rsidRPr="007223FB">
        <w:t xml:space="preserve"> Q</w:t>
      </w:r>
      <w:r w:rsidRPr="007223FB">
        <w:rPr>
          <w:rFonts w:cs="Arial"/>
        </w:rPr>
        <w:t xml:space="preserve">6.08 </w:t>
      </w:r>
      <w:r w:rsidRPr="007223FB">
        <w:t xml:space="preserve">millones </w:t>
      </w:r>
      <w:r w:rsidRPr="007223FB">
        <w:rPr>
          <w:rFonts w:cs="Arial-Bold"/>
          <w:bCs/>
        </w:rPr>
        <w:t>lo que representa el 51.49%</w:t>
      </w:r>
      <w:r w:rsidRPr="007223FB">
        <w:t xml:space="preserve"> de su presupuesto anual, se sugiere mejorar la planificación y programación de la prestación de servicios para lograr los resultados planteados.</w:t>
      </w:r>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Confederación Deportiva Autónoma de Guatemala</w:t>
      </w:r>
      <w:r w:rsidR="00A378C0" w:rsidRPr="007223FB">
        <w:rPr>
          <w:b/>
          <w:lang w:val="es-ES" w:eastAsia="es-GT"/>
        </w:rPr>
        <w:t xml:space="preserve"> –CONFEDE-</w:t>
      </w:r>
    </w:p>
    <w:p w:rsidR="00A535D5" w:rsidRPr="007223FB" w:rsidRDefault="00A535D5" w:rsidP="001617C9">
      <w:pPr>
        <w:autoSpaceDE w:val="0"/>
        <w:autoSpaceDN w:val="0"/>
        <w:adjustRightInd w:val="0"/>
        <w:spacing w:before="120" w:after="120" w:line="240" w:lineRule="auto"/>
        <w:rPr>
          <w:rFonts w:cs="Courier"/>
          <w:bCs/>
        </w:rPr>
      </w:pPr>
      <w:r w:rsidRPr="007223FB">
        <w:t xml:space="preserve">La Confederación Deportiva, se rige por la Ley </w:t>
      </w:r>
      <w:r w:rsidRPr="007223FB">
        <w:rPr>
          <w:bCs/>
          <w:iCs/>
        </w:rPr>
        <w:t xml:space="preserve">Nacional para el desarrollo de la cultura física y el deporte Decreto 76-97, le corresponde apoyar </w:t>
      </w:r>
      <w:r w:rsidRPr="007223FB">
        <w:t xml:space="preserve">el sistema del deporte federado persigue como </w:t>
      </w:r>
      <w:r w:rsidRPr="007223FB">
        <w:lastRenderedPageBreak/>
        <w:t xml:space="preserve">objetivo interinstitucional de carácter general, promover y garantizar la actividad física con fines propiamente de competitividad, especialización y perfeccionamiento deportivo. En el PEI 2019-2023 se ha planteado el objetivo interinstitucional la articulación de las federaciones nacionales a procesos de búsqueda, descubrimiento, selección, preparación y competitividad deportiva de medio y alto rendimiento a nivel ínter sistemático, </w:t>
      </w:r>
      <w:r w:rsidRPr="007223FB">
        <w:rPr>
          <w:lang w:val="es-MX"/>
        </w:rPr>
        <w:t>en coordinación con las Federaciones y Asociaciones Deportivas Nacionales Fadn, las acciones de la Cdag están orientadas a la prioridades de gobierno: salud integral y seguridad ciudadana con las acciones de prevención a los hechos delictivos contra el patrimonio, para ello la Confederación ha planteado cuatro resultados institucionales, de los cuales uno que está técnicamente formulado siendo: “</w:t>
      </w:r>
      <w:r w:rsidRPr="007223FB">
        <w:rPr>
          <w:rFonts w:cs="Courier"/>
          <w:bCs/>
        </w:rPr>
        <w:t>Mantener la cobertura del desarrollo del deporte federado a nivel nacional a través de brindar</w:t>
      </w:r>
      <w:r w:rsidR="00B178A3" w:rsidRPr="007223FB">
        <w:rPr>
          <w:rFonts w:cs="Courier"/>
          <w:bCs/>
        </w:rPr>
        <w:t xml:space="preserve"> </w:t>
      </w:r>
      <w:r w:rsidRPr="007223FB">
        <w:rPr>
          <w:rFonts w:cs="Courier"/>
          <w:bCs/>
        </w:rPr>
        <w:t>Instalaciones en condiciones de uso apoyo técnico deportivo y atenciones integrales de la Ciencias Aplicadas al Deporte</w:t>
      </w:r>
      <w:r w:rsidRPr="007223FB">
        <w:t>”</w:t>
      </w:r>
      <w:r w:rsidRPr="007223FB">
        <w:rPr>
          <w:lang w:val="es-MX"/>
        </w:rPr>
        <w:t>, mediante la generación y facilitación de siete (7) productos: de los cuales cuatro (4) servicios alcanzaron el 100% de avance físico, el producto “</w:t>
      </w:r>
      <w:r w:rsidRPr="007223FB">
        <w:rPr>
          <w:rFonts w:cs="Arial"/>
        </w:rPr>
        <w:t>Mantenimiento preventivo y correctivo de instalaciones deportivas de CDAG” apenas logra el 50% de avance.</w:t>
      </w:r>
      <w:r w:rsidRPr="007223FB">
        <w:rPr>
          <w:lang w:val="es-MX"/>
        </w:rPr>
        <w:t xml:space="preserve"> </w:t>
      </w:r>
      <w:r w:rsidRPr="007223FB">
        <w:rPr>
          <w:lang w:val="es-MX" w:eastAsia="es-GT"/>
        </w:rPr>
        <w:t xml:space="preserve">La </w:t>
      </w:r>
      <w:r w:rsidRPr="007223FB">
        <w:rPr>
          <w:lang w:eastAsia="es-GT"/>
        </w:rPr>
        <w:t xml:space="preserve">Cdag cuenta con un presupuesto vigente de </w:t>
      </w:r>
      <w:r w:rsidRPr="007223FB">
        <w:rPr>
          <w:bCs/>
        </w:rPr>
        <w:t xml:space="preserve">Q </w:t>
      </w:r>
      <w:r w:rsidRPr="007223FB">
        <w:rPr>
          <w:rFonts w:cs="Arial"/>
        </w:rPr>
        <w:t xml:space="preserve">420.31 </w:t>
      </w:r>
      <w:r w:rsidRPr="007223FB">
        <w:rPr>
          <w:bCs/>
        </w:rPr>
        <w:t xml:space="preserve">millones, </w:t>
      </w:r>
      <w:r w:rsidRPr="007223FB">
        <w:t>la ejecución del segundo cuatrimestre fue de Q245</w:t>
      </w:r>
      <w:r w:rsidRPr="007223FB">
        <w:rPr>
          <w:rFonts w:cs="Arial"/>
        </w:rPr>
        <w:t xml:space="preserve">.44 </w:t>
      </w:r>
      <w:r w:rsidRPr="007223FB">
        <w:rPr>
          <w:rFonts w:cs="Arial-Bold"/>
          <w:bCs/>
        </w:rPr>
        <w:t>millones que equivale a 58.39</w:t>
      </w:r>
      <w:r w:rsidRPr="007223FB">
        <w:t>%. Se recomienda mejorar la ejecución financiera de la intervención de mantenimiento preventivo y correctivo de las instalaciones ya que las federaciones y asociaciones deportivas necesitan de este insumo para la práctica del deporte federado.</w:t>
      </w:r>
    </w:p>
    <w:p w:rsidR="009004FA" w:rsidRPr="007223FB" w:rsidRDefault="009004FA" w:rsidP="000B07D9">
      <w:pPr>
        <w:pStyle w:val="Prrafodelista"/>
        <w:numPr>
          <w:ilvl w:val="0"/>
          <w:numId w:val="5"/>
        </w:numPr>
        <w:spacing w:before="120" w:after="120" w:line="240" w:lineRule="auto"/>
        <w:contextualSpacing w:val="0"/>
        <w:rPr>
          <w:b/>
          <w:lang w:val="es-ES" w:eastAsia="es-GT"/>
        </w:rPr>
      </w:pPr>
      <w:r w:rsidRPr="007223FB">
        <w:rPr>
          <w:b/>
          <w:lang w:val="es-ES" w:eastAsia="es-GT"/>
        </w:rPr>
        <w:t>Asociaciones</w:t>
      </w:r>
      <w:r w:rsidR="00491338" w:rsidRPr="007223FB">
        <w:rPr>
          <w:b/>
          <w:lang w:val="es-ES" w:eastAsia="es-GT"/>
        </w:rPr>
        <w:t xml:space="preserve"> y Federaciones Deportivas</w:t>
      </w:r>
    </w:p>
    <w:p w:rsidR="00A535D5" w:rsidRPr="007223FB" w:rsidRDefault="00A535D5" w:rsidP="001617C9">
      <w:pPr>
        <w:autoSpaceDE w:val="0"/>
        <w:autoSpaceDN w:val="0"/>
        <w:adjustRightInd w:val="0"/>
        <w:spacing w:before="120" w:after="120" w:line="240" w:lineRule="auto"/>
      </w:pPr>
      <w:r w:rsidRPr="007223FB">
        <w:rPr>
          <w:b/>
        </w:rPr>
        <w:t>Las entidades que integran la CDAG (Federaciones y Asociaciones Deportivas Nacionales –FADN-)</w:t>
      </w:r>
      <w:r w:rsidRPr="007223FB">
        <w:t xml:space="preserve"> se rigen por el Decreto 76-97 Ley Nacional para el Desarrollo de la Cultura Física y el Deporte, donde se define que son la autoridad máxima de su deporte en el sector federado y estarán constituidas por la agrupación de las asociaciones deportivas departamentales del mismo deporte y las ligas, los clubes, equipos o deportistas individuales, que practiquen la misma actividad deportiva. Las obligaciones van encaminadas </w:t>
      </w:r>
      <w:r w:rsidR="00FB277B" w:rsidRPr="007223FB">
        <w:t>a elaborar</w:t>
      </w:r>
      <w:r w:rsidRPr="007223FB">
        <w:t xml:space="preserve"> proyectos anuales de planes de trabajo y de presupuesto siendo estos la base para el plan de la Cdag, desarrollando objetivos dentro del deporte de que se trate y, para su vigencia, ser aprobadas previamente por el Comité Ejecutivo de la Confederación. En el marco de la gestión por resultados, se ha planteado como resultado estratégico del sector deporte federado, el de incrementar el No. de atletas competitivos en los eventos internacionales, a través de la generación y presentación de las intervenciones: atletas federados que reciben formación inicial, intermedia y especializada.</w:t>
      </w:r>
    </w:p>
    <w:p w:rsidR="00A378C0" w:rsidRPr="009B30CD" w:rsidRDefault="001617C9" w:rsidP="009B30CD">
      <w:pPr>
        <w:pStyle w:val="Ttulo4"/>
        <w:numPr>
          <w:ilvl w:val="0"/>
          <w:numId w:val="0"/>
        </w:numPr>
        <w:ind w:left="864"/>
        <w:rPr>
          <w:rFonts w:ascii="Candara" w:hAnsi="Candara"/>
          <w:b/>
          <w:color w:val="auto"/>
          <w:sz w:val="18"/>
        </w:rPr>
      </w:pPr>
      <w:bookmarkStart w:id="121" w:name="_Toc19524707"/>
      <w:r w:rsidRPr="009B30CD">
        <w:rPr>
          <w:rFonts w:ascii="Candara" w:hAnsi="Candara"/>
          <w:b/>
          <w:color w:val="auto"/>
          <w:sz w:val="18"/>
        </w:rPr>
        <w:t>Cuadro</w:t>
      </w:r>
      <w:r w:rsidR="009B30CD">
        <w:rPr>
          <w:rFonts w:ascii="Candara" w:hAnsi="Candara"/>
          <w:b/>
          <w:color w:val="auto"/>
          <w:sz w:val="18"/>
        </w:rPr>
        <w:t xml:space="preserve"> 21</w:t>
      </w:r>
      <w:r w:rsidR="009B30CD">
        <w:rPr>
          <w:rFonts w:ascii="Candara" w:hAnsi="Candara"/>
          <w:b/>
          <w:color w:val="auto"/>
          <w:sz w:val="18"/>
        </w:rPr>
        <w:br/>
      </w:r>
      <w:r w:rsidR="00FB277B" w:rsidRPr="009B30CD">
        <w:rPr>
          <w:rFonts w:ascii="Candara" w:hAnsi="Candara"/>
          <w:b/>
          <w:color w:val="auto"/>
          <w:sz w:val="18"/>
        </w:rPr>
        <w:t>ENTIDADES QUE</w:t>
      </w:r>
      <w:r w:rsidRPr="009B30CD">
        <w:rPr>
          <w:rFonts w:ascii="Candara" w:hAnsi="Candara"/>
          <w:b/>
          <w:color w:val="auto"/>
          <w:sz w:val="18"/>
        </w:rPr>
        <w:t xml:space="preserve"> integran la CDAG</w:t>
      </w:r>
      <w:r w:rsidR="009B30CD">
        <w:rPr>
          <w:rFonts w:ascii="Candara" w:hAnsi="Candara"/>
          <w:b/>
          <w:color w:val="auto"/>
          <w:sz w:val="18"/>
        </w:rPr>
        <w:br/>
      </w:r>
      <w:r w:rsidRPr="009B30CD">
        <w:rPr>
          <w:rFonts w:ascii="Candara" w:hAnsi="Candara"/>
          <w:b/>
          <w:color w:val="auto"/>
          <w:sz w:val="18"/>
        </w:rPr>
        <w:t xml:space="preserve">Ejercicio </w:t>
      </w:r>
      <w:r w:rsidR="00FB277B" w:rsidRPr="009B30CD">
        <w:rPr>
          <w:rFonts w:ascii="Candara" w:hAnsi="Candara"/>
          <w:b/>
          <w:color w:val="auto"/>
          <w:sz w:val="18"/>
        </w:rPr>
        <w:t>FISCAL 2DO</w:t>
      </w:r>
      <w:r w:rsidRPr="009B30CD">
        <w:rPr>
          <w:rFonts w:ascii="Candara" w:hAnsi="Candara"/>
          <w:b/>
          <w:color w:val="auto"/>
          <w:sz w:val="18"/>
        </w:rPr>
        <w:t xml:space="preserve"> cuatrimestre 2019</w:t>
      </w:r>
      <w:r w:rsidR="009B30CD">
        <w:rPr>
          <w:rFonts w:ascii="Candara" w:hAnsi="Candara"/>
          <w:b/>
          <w:color w:val="auto"/>
          <w:sz w:val="18"/>
        </w:rPr>
        <w:br/>
      </w:r>
      <w:r w:rsidRPr="009B30CD">
        <w:rPr>
          <w:rFonts w:ascii="Candara" w:hAnsi="Candara"/>
          <w:b/>
          <w:color w:val="auto"/>
          <w:sz w:val="18"/>
        </w:rPr>
        <w:t>(Millones de Quetzales)</w:t>
      </w:r>
      <w:bookmarkEnd w:id="121"/>
    </w:p>
    <w:tbl>
      <w:tblPr>
        <w:tblStyle w:val="Tabladecuadrcula4-nfasis11"/>
        <w:tblpPr w:leftFromText="141" w:rightFromText="141" w:vertAnchor="text" w:tblpY="1"/>
        <w:tblOverlap w:val="never"/>
        <w:tblW w:w="4786" w:type="pct"/>
        <w:tblLayout w:type="fixed"/>
        <w:tblLook w:val="04A0" w:firstRow="1" w:lastRow="0" w:firstColumn="1" w:lastColumn="0" w:noHBand="0" w:noVBand="1"/>
      </w:tblPr>
      <w:tblGrid>
        <w:gridCol w:w="1818"/>
        <w:gridCol w:w="1235"/>
        <w:gridCol w:w="917"/>
        <w:gridCol w:w="1155"/>
        <w:gridCol w:w="1155"/>
        <w:gridCol w:w="917"/>
        <w:gridCol w:w="917"/>
        <w:gridCol w:w="912"/>
      </w:tblGrid>
      <w:tr w:rsidR="00B178A3" w:rsidRPr="001617C9" w:rsidTr="001617C9">
        <w:trPr>
          <w:cnfStyle w:val="100000000000" w:firstRow="1" w:lastRow="0" w:firstColumn="0" w:lastColumn="0" w:oddVBand="0" w:evenVBand="0" w:oddHBand="0" w:evenHBand="0" w:firstRowFirstColumn="0" w:firstRowLastColumn="0" w:lastRowFirstColumn="0" w:lastRowLastColumn="0"/>
          <w:trHeight w:val="765"/>
          <w:tblHeader/>
        </w:trPr>
        <w:tc>
          <w:tcPr>
            <w:cnfStyle w:val="001000000000" w:firstRow="0" w:lastRow="0" w:firstColumn="1" w:lastColumn="0" w:oddVBand="0" w:evenVBand="0" w:oddHBand="0" w:evenHBand="0" w:firstRowFirstColumn="0" w:firstRowLastColumn="0" w:lastRowFirstColumn="0" w:lastRowLastColumn="0"/>
            <w:tcW w:w="1007" w:type="pct"/>
            <w:vAlign w:val="center"/>
            <w:hideMark/>
          </w:tcPr>
          <w:p w:rsidR="00B178A3" w:rsidRPr="001617C9" w:rsidRDefault="00B178A3" w:rsidP="000F08EE">
            <w:pPr>
              <w:jc w:val="center"/>
              <w:rPr>
                <w:rFonts w:eastAsia="Times New Roman"/>
                <w:sz w:val="16"/>
              </w:rPr>
            </w:pPr>
            <w:r w:rsidRPr="001617C9">
              <w:rPr>
                <w:rFonts w:eastAsia="Times New Roman"/>
                <w:sz w:val="16"/>
              </w:rPr>
              <w:t>Entidad</w:t>
            </w:r>
          </w:p>
        </w:tc>
        <w:tc>
          <w:tcPr>
            <w:tcW w:w="684" w:type="pct"/>
          </w:tcPr>
          <w:p w:rsidR="00B178A3" w:rsidRPr="001617C9" w:rsidRDefault="00B178A3" w:rsidP="000F08EE">
            <w:pPr>
              <w:jc w:val="center"/>
              <w:cnfStyle w:val="100000000000" w:firstRow="1" w:lastRow="0" w:firstColumn="0" w:lastColumn="0" w:oddVBand="0" w:evenVBand="0" w:oddHBand="0" w:evenHBand="0" w:firstRowFirstColumn="0" w:firstRowLastColumn="0" w:lastRowFirstColumn="0" w:lastRowLastColumn="0"/>
              <w:rPr>
                <w:rFonts w:eastAsia="Times New Roman"/>
                <w:sz w:val="16"/>
              </w:rPr>
            </w:pPr>
            <w:r w:rsidRPr="001617C9">
              <w:rPr>
                <w:rFonts w:eastAsia="Times New Roman"/>
                <w:sz w:val="16"/>
              </w:rPr>
              <w:t xml:space="preserve"># de Productos </w:t>
            </w:r>
          </w:p>
        </w:tc>
        <w:tc>
          <w:tcPr>
            <w:tcW w:w="508" w:type="pct"/>
            <w:vAlign w:val="center"/>
            <w:hideMark/>
          </w:tcPr>
          <w:p w:rsidR="00B178A3" w:rsidRPr="001617C9" w:rsidRDefault="00B178A3" w:rsidP="000F08EE">
            <w:pPr>
              <w:jc w:val="center"/>
              <w:cnfStyle w:val="100000000000" w:firstRow="1" w:lastRow="0" w:firstColumn="0" w:lastColumn="0" w:oddVBand="0" w:evenVBand="0" w:oddHBand="0" w:evenHBand="0" w:firstRowFirstColumn="0" w:firstRowLastColumn="0" w:lastRowFirstColumn="0" w:lastRowLastColumn="0"/>
              <w:rPr>
                <w:rFonts w:eastAsia="Times New Roman"/>
                <w:sz w:val="16"/>
              </w:rPr>
            </w:pPr>
            <w:r w:rsidRPr="001617C9">
              <w:rPr>
                <w:rFonts w:eastAsia="Times New Roman"/>
                <w:sz w:val="16"/>
              </w:rPr>
              <w:t xml:space="preserve">Avance físico Promedio </w:t>
            </w:r>
          </w:p>
        </w:tc>
        <w:tc>
          <w:tcPr>
            <w:tcW w:w="640" w:type="pct"/>
            <w:vAlign w:val="center"/>
            <w:hideMark/>
          </w:tcPr>
          <w:p w:rsidR="00B178A3" w:rsidRPr="001617C9" w:rsidRDefault="00B178A3" w:rsidP="000F08EE">
            <w:pPr>
              <w:jc w:val="center"/>
              <w:cnfStyle w:val="100000000000" w:firstRow="1" w:lastRow="0" w:firstColumn="0" w:lastColumn="0" w:oddVBand="0" w:evenVBand="0" w:oddHBand="0" w:evenHBand="0" w:firstRowFirstColumn="0" w:firstRowLastColumn="0" w:lastRowFirstColumn="0" w:lastRowLastColumn="0"/>
              <w:rPr>
                <w:rFonts w:eastAsia="Times New Roman"/>
                <w:sz w:val="16"/>
              </w:rPr>
            </w:pPr>
            <w:r w:rsidRPr="001617C9">
              <w:rPr>
                <w:rFonts w:eastAsia="Times New Roman"/>
                <w:sz w:val="16"/>
              </w:rPr>
              <w:t>Presupuesto inicial</w:t>
            </w:r>
          </w:p>
        </w:tc>
        <w:tc>
          <w:tcPr>
            <w:tcW w:w="640" w:type="pct"/>
          </w:tcPr>
          <w:p w:rsidR="00B178A3" w:rsidRPr="001617C9" w:rsidRDefault="00B178A3" w:rsidP="000F08EE">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rPr>
            </w:pPr>
          </w:p>
          <w:p w:rsidR="00B178A3" w:rsidRPr="001617C9" w:rsidRDefault="00B178A3" w:rsidP="000F08EE">
            <w:pPr>
              <w:jc w:val="center"/>
              <w:cnfStyle w:val="100000000000" w:firstRow="1" w:lastRow="0" w:firstColumn="0" w:lastColumn="0" w:oddVBand="0" w:evenVBand="0" w:oddHBand="0" w:evenHBand="0" w:firstRowFirstColumn="0" w:firstRowLastColumn="0" w:lastRowFirstColumn="0" w:lastRowLastColumn="0"/>
              <w:rPr>
                <w:rFonts w:eastAsia="Times New Roman"/>
                <w:bCs w:val="0"/>
                <w:sz w:val="16"/>
              </w:rPr>
            </w:pPr>
            <w:r w:rsidRPr="001617C9">
              <w:rPr>
                <w:rFonts w:eastAsia="Times New Roman"/>
                <w:bCs w:val="0"/>
                <w:sz w:val="16"/>
              </w:rPr>
              <w:t>Presupuesto vigente</w:t>
            </w:r>
          </w:p>
        </w:tc>
        <w:tc>
          <w:tcPr>
            <w:tcW w:w="508" w:type="pct"/>
          </w:tcPr>
          <w:p w:rsidR="00B178A3" w:rsidRPr="001617C9" w:rsidRDefault="00B178A3" w:rsidP="000F08EE">
            <w:pPr>
              <w:contextualSpacing/>
              <w:jc w:val="center"/>
              <w:cnfStyle w:val="100000000000" w:firstRow="1" w:lastRow="0" w:firstColumn="0" w:lastColumn="0" w:oddVBand="0" w:evenVBand="0" w:oddHBand="0" w:evenHBand="0" w:firstRowFirstColumn="0" w:firstRowLastColumn="0" w:lastRowFirstColumn="0" w:lastRowLastColumn="0"/>
              <w:rPr>
                <w:sz w:val="16"/>
                <w:lang w:val="es-MX"/>
              </w:rPr>
            </w:pPr>
            <w:r w:rsidRPr="001617C9">
              <w:rPr>
                <w:sz w:val="16"/>
                <w:lang w:val="es-MX"/>
              </w:rPr>
              <w:t>Ejecutado</w:t>
            </w:r>
          </w:p>
          <w:p w:rsidR="00B178A3" w:rsidRPr="001617C9" w:rsidRDefault="00B178A3" w:rsidP="000F08EE">
            <w:pPr>
              <w:contextualSpacing/>
              <w:jc w:val="center"/>
              <w:cnfStyle w:val="100000000000" w:firstRow="1" w:lastRow="0" w:firstColumn="0" w:lastColumn="0" w:oddVBand="0" w:evenVBand="0" w:oddHBand="0" w:evenHBand="0" w:firstRowFirstColumn="0" w:firstRowLastColumn="0" w:lastRowFirstColumn="0" w:lastRowLastColumn="0"/>
              <w:rPr>
                <w:sz w:val="16"/>
                <w:lang w:val="es-MX"/>
              </w:rPr>
            </w:pPr>
            <w:r w:rsidRPr="001617C9">
              <w:rPr>
                <w:sz w:val="16"/>
                <w:lang w:val="es-MX"/>
              </w:rPr>
              <w:t>2do cuatrimestre</w:t>
            </w:r>
          </w:p>
        </w:tc>
        <w:tc>
          <w:tcPr>
            <w:tcW w:w="508" w:type="pct"/>
          </w:tcPr>
          <w:p w:rsidR="00B178A3" w:rsidRPr="001617C9" w:rsidRDefault="00B178A3" w:rsidP="000F08EE">
            <w:pPr>
              <w:contextualSpacing/>
              <w:jc w:val="center"/>
              <w:cnfStyle w:val="100000000000" w:firstRow="1" w:lastRow="0" w:firstColumn="0" w:lastColumn="0" w:oddVBand="0" w:evenVBand="0" w:oddHBand="0" w:evenHBand="0" w:firstRowFirstColumn="0" w:firstRowLastColumn="0" w:lastRowFirstColumn="0" w:lastRowLastColumn="0"/>
              <w:rPr>
                <w:sz w:val="16"/>
                <w:lang w:val="es-MX"/>
              </w:rPr>
            </w:pPr>
            <w:r w:rsidRPr="001617C9">
              <w:rPr>
                <w:sz w:val="16"/>
                <w:lang w:val="es-MX"/>
              </w:rPr>
              <w:t>Total ejecutado</w:t>
            </w:r>
          </w:p>
        </w:tc>
        <w:tc>
          <w:tcPr>
            <w:tcW w:w="506" w:type="pct"/>
          </w:tcPr>
          <w:p w:rsidR="00B178A3" w:rsidRPr="001617C9" w:rsidRDefault="00B178A3" w:rsidP="000F08EE">
            <w:pPr>
              <w:contextualSpacing/>
              <w:jc w:val="center"/>
              <w:cnfStyle w:val="100000000000" w:firstRow="1" w:lastRow="0" w:firstColumn="0" w:lastColumn="0" w:oddVBand="0" w:evenVBand="0" w:oddHBand="0" w:evenHBand="0" w:firstRowFirstColumn="0" w:firstRowLastColumn="0" w:lastRowFirstColumn="0" w:lastRowLastColumn="0"/>
              <w:rPr>
                <w:sz w:val="16"/>
                <w:lang w:val="es-MX"/>
              </w:rPr>
            </w:pPr>
            <w:r w:rsidRPr="001617C9">
              <w:rPr>
                <w:sz w:val="16"/>
                <w:lang w:val="es-MX"/>
              </w:rPr>
              <w:t>% de avance</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Triatlón</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left" w:pos="735"/>
              </w:tabs>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5.31</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6.39</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1.76</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3.20</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50.17%</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Boliche</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6.13</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6.13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1.91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3.71</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60.51%</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Voleibol</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hideMark/>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0.53%</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6.30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6.84</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2.90</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4.18</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61.17%</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Natación, clavados, polo acuático y nado sincronizado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tabs>
                <w:tab w:val="left" w:pos="240"/>
                <w:tab w:val="center" w:pos="400"/>
              </w:tabs>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74%</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8.47</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9.25</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3.71</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5.52</w:t>
            </w:r>
          </w:p>
        </w:tc>
        <w:tc>
          <w:tcPr>
            <w:tcW w:w="506"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59.67%</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lastRenderedPageBreak/>
              <w:t>Federación Nacional de Fútbol</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43.31</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43.31</w:t>
            </w:r>
          </w:p>
        </w:tc>
        <w:tc>
          <w:tcPr>
            <w:tcW w:w="508" w:type="pct"/>
          </w:tcPr>
          <w:p w:rsidR="00B178A3" w:rsidRPr="001617C9" w:rsidRDefault="00B178A3" w:rsidP="000F08EE">
            <w:pPr>
              <w:tabs>
                <w:tab w:val="left" w:pos="345"/>
                <w:tab w:val="center" w:pos="625"/>
              </w:tabs>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left" w:pos="345"/>
                <w:tab w:val="center" w:pos="625"/>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14.44</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24.18</w:t>
            </w: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55.84%</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Luchas de Guatemala</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p>
        </w:tc>
        <w:tc>
          <w:tcPr>
            <w:tcW w:w="508" w:type="pct"/>
            <w:hideMark/>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36%</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7.23</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7.53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3.52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5.19</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68.92%</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Ciclismo de Guatemala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w:t>
            </w:r>
          </w:p>
        </w:tc>
        <w:tc>
          <w:tcPr>
            <w:tcW w:w="508" w:type="pct"/>
            <w:hideMark/>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7.53</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8.40</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3.79</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5.99</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71.32%</w:t>
            </w:r>
          </w:p>
        </w:tc>
      </w:tr>
      <w:tr w:rsidR="00B178A3" w:rsidRPr="001617C9" w:rsidTr="001617C9">
        <w:trPr>
          <w:trHeight w:val="209"/>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Tenis de Campo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1617C9" w:rsidP="001617C9">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Pr>
                <w:sz w:val="16"/>
                <w:lang w:val="es-MX"/>
              </w:rPr>
              <w:t>s/i</w:t>
            </w:r>
          </w:p>
        </w:tc>
        <w:tc>
          <w:tcPr>
            <w:tcW w:w="508" w:type="pct"/>
            <w:hideMark/>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9.71</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9.71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3.11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5.43</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55.91%</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Boxeo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hideMark/>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22%</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7.25</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7.91</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2.41</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4.72</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59.64%</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Tiro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p>
        </w:tc>
        <w:tc>
          <w:tcPr>
            <w:tcW w:w="508" w:type="pct"/>
            <w:hideMark/>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6.42</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6.42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2.81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4.00</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62.31%</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hideMark/>
          </w:tcPr>
          <w:p w:rsidR="00B178A3" w:rsidRPr="001617C9" w:rsidRDefault="00B178A3" w:rsidP="000F08EE">
            <w:pPr>
              <w:jc w:val="left"/>
              <w:rPr>
                <w:b w:val="0"/>
                <w:sz w:val="16"/>
                <w:lang w:val="es-MX"/>
              </w:rPr>
            </w:pPr>
            <w:r w:rsidRPr="001617C9">
              <w:rPr>
                <w:b w:val="0"/>
                <w:sz w:val="16"/>
                <w:lang w:val="es-MX"/>
              </w:rPr>
              <w:t>Federación Nacional de Bádminton de Guatemala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hideMark/>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hideMark/>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4.84</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5.87</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2.93</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4.71</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80.35%</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Esgrima</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3.57</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6.67</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1.41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2.06</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30.93%</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Balonmano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4.57</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4.84</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1.61</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2.80</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57.97%</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Levantamiento de Pesas</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6.11</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6.60</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2.58</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4.07</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61.77%</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Ajedrez de Guatemala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4.27</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4.27</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1.30</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2.51</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58.81%</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Béisbol</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5.92</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5.92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1.87</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3.10</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0.38%</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Remo y Canotaje</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7.23</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7.23</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2.35</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3.99</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55.30%</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Motociclismo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4.43</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4.43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1.51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2.52</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56.96%</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Tribunal Eleccionario del Deporte Federado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1.28%</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3.94</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2.44</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0.63</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1.14</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47.01%</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Andinismo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4.61</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4.61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1.46</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2.43</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52.73%</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Baloncesto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5.99</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5.99</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1.98</w:t>
            </w:r>
          </w:p>
        </w:tc>
        <w:tc>
          <w:tcPr>
            <w:tcW w:w="508" w:type="pct"/>
          </w:tcPr>
          <w:p w:rsidR="00B178A3" w:rsidRPr="001617C9" w:rsidRDefault="00B178A3" w:rsidP="000F08EE">
            <w:pPr>
              <w:tabs>
                <w:tab w:val="center" w:pos="389"/>
              </w:tabs>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389"/>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3.72</w:t>
            </w:r>
          </w:p>
        </w:tc>
        <w:tc>
          <w:tcPr>
            <w:tcW w:w="506" w:type="pct"/>
          </w:tcPr>
          <w:p w:rsidR="00B178A3" w:rsidRPr="001617C9" w:rsidRDefault="00B178A3" w:rsidP="000F08EE">
            <w:pPr>
              <w:tabs>
                <w:tab w:val="center" w:pos="275"/>
              </w:tabs>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275"/>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62.16%</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Atletismo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47.88</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7.64</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7.64</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2.29</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3.73</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48.89%</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Gimnasia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10.98</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10.98</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3.07</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5.13</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46.73%</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Físico Culturismo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87%</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4.65</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5.12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1.91</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3.21</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62.65%</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Patinaje sobre Ruedas de Guatemala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3.87</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4.08</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left" w:pos="405"/>
                <w:tab w:val="center" w:pos="625"/>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1.40</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2.20</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53.95%</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Karate-Do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6.17</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6.87</w:t>
            </w:r>
          </w:p>
        </w:tc>
        <w:tc>
          <w:tcPr>
            <w:tcW w:w="508" w:type="pct"/>
          </w:tcPr>
          <w:p w:rsidR="00B178A3" w:rsidRPr="001617C9" w:rsidRDefault="00B178A3" w:rsidP="000F08EE">
            <w:pPr>
              <w:tabs>
                <w:tab w:val="left" w:pos="360"/>
                <w:tab w:val="center" w:pos="625"/>
              </w:tabs>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tabs>
                <w:tab w:val="left" w:pos="360"/>
                <w:tab w:val="center" w:pos="625"/>
              </w:tabs>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2.03</w:t>
            </w:r>
          </w:p>
        </w:tc>
        <w:tc>
          <w:tcPr>
            <w:tcW w:w="508" w:type="pct"/>
          </w:tcPr>
          <w:p w:rsidR="00B178A3" w:rsidRPr="001617C9" w:rsidRDefault="00B178A3" w:rsidP="000F08EE">
            <w:pPr>
              <w:tabs>
                <w:tab w:val="center" w:pos="389"/>
              </w:tabs>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tabs>
                <w:tab w:val="center" w:pos="389"/>
              </w:tabs>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3.74</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54.50%</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Levantamiento de Potencia</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435"/>
                <w:tab w:val="right" w:pos="870"/>
              </w:tabs>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33.5%</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3.96</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4.07</w:t>
            </w:r>
          </w:p>
        </w:tc>
        <w:tc>
          <w:tcPr>
            <w:tcW w:w="508" w:type="pct"/>
          </w:tcPr>
          <w:p w:rsidR="00B178A3" w:rsidRPr="001617C9" w:rsidRDefault="00B178A3" w:rsidP="000F08EE">
            <w:pPr>
              <w:tabs>
                <w:tab w:val="left" w:pos="420"/>
                <w:tab w:val="center" w:pos="625"/>
              </w:tabs>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left" w:pos="360"/>
                <w:tab w:val="left" w:pos="420"/>
                <w:tab w:val="center" w:pos="625"/>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1.36</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349"/>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2.45</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315"/>
              </w:tabs>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60.38%</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Tenis de Mesa</w:t>
            </w:r>
          </w:p>
        </w:tc>
        <w:tc>
          <w:tcPr>
            <w:tcW w:w="684" w:type="pct"/>
          </w:tcPr>
          <w:p w:rsidR="00B178A3" w:rsidRPr="001617C9" w:rsidRDefault="00B178A3" w:rsidP="000F08EE">
            <w:pPr>
              <w:tabs>
                <w:tab w:val="left" w:pos="345"/>
                <w:tab w:val="center" w:pos="459"/>
              </w:tabs>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tabs>
                <w:tab w:val="left" w:pos="345"/>
                <w:tab w:val="center" w:pos="459"/>
              </w:tabs>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26%</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5.78</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5.93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2.42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4.05</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68.38%</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Taekwon-Do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left" w:pos="195"/>
                <w:tab w:val="center" w:pos="400"/>
              </w:tabs>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11%</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7.63</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9.21</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2.95</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6.11</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66.39%</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Federación Nacional de  Judo</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5.25</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6.22</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2.07</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3.57</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57.41%</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de Pentatlón Moderno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lastRenderedPageBreak/>
              <w:t>4</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lastRenderedPageBreak/>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7.79</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7.92</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lastRenderedPageBreak/>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lastRenderedPageBreak/>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lastRenderedPageBreak/>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lastRenderedPageBreak/>
              <w:t>Asociación Deportiva Nacional de Softbol</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5</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32.88</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33.05</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Deportiva Nacional de Surf</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Deportiva Nacional de Hockey</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1</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0.21</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0.93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Guatemalteca de Rugby</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0.22</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0.22</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Billar</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74%</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2.53</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2.53</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Ecuestres</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6.33</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6.33</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Navegación a Vela</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3</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8.16</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8.16</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Paracaidismo</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0%</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2.41</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2.53</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315"/>
              </w:tabs>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tabs>
                <w:tab w:val="center" w:pos="315"/>
              </w:tabs>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Raquetbol</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2</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89%</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8.60</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8.60</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Squash</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1</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97%</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4.06</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4.00</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r w:rsidR="00B178A3" w:rsidRPr="001617C9" w:rsidTr="001617C9">
        <w:trPr>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Tiro con Arma de Caza</w:t>
            </w:r>
          </w:p>
        </w:tc>
        <w:tc>
          <w:tcPr>
            <w:tcW w:w="684"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jc w:val="cente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4.36</w:t>
            </w:r>
          </w:p>
        </w:tc>
        <w:tc>
          <w:tcPr>
            <w:tcW w:w="640" w:type="pct"/>
            <w:vAlign w:val="center"/>
          </w:tcPr>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p>
          <w:p w:rsidR="00B178A3" w:rsidRPr="001617C9" w:rsidRDefault="00B178A3" w:rsidP="000F08EE">
            <w:pPr>
              <w:jc w:val="center"/>
              <w:cnfStyle w:val="000000000000" w:firstRow="0" w:lastRow="0" w:firstColumn="0" w:lastColumn="0" w:oddVBand="0" w:evenVBand="0" w:oddHBand="0" w:evenHBand="0" w:firstRowFirstColumn="0" w:firstRowLastColumn="0" w:lastRowFirstColumn="0" w:lastRowLastColumn="0"/>
              <w:rPr>
                <w:bCs/>
                <w:color w:val="000000"/>
                <w:sz w:val="16"/>
              </w:rPr>
            </w:pPr>
            <w:r w:rsidRPr="001617C9">
              <w:rPr>
                <w:bCs/>
                <w:color w:val="000000"/>
                <w:sz w:val="16"/>
              </w:rPr>
              <w:t>4.36</w:t>
            </w: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p w:rsidR="00B178A3" w:rsidRPr="001617C9" w:rsidRDefault="00B178A3" w:rsidP="000F08EE">
            <w:pPr>
              <w:cnfStyle w:val="000000000000" w:firstRow="0" w:lastRow="0" w:firstColumn="0" w:lastColumn="0" w:oddVBand="0" w:evenVBand="0" w:oddHBand="0" w:evenHBand="0" w:firstRowFirstColumn="0" w:firstRowLastColumn="0" w:lastRowFirstColumn="0" w:lastRowLastColumn="0"/>
              <w:rPr>
                <w:sz w:val="16"/>
                <w:lang w:val="es-MX"/>
              </w:rPr>
            </w:pPr>
          </w:p>
        </w:tc>
        <w:tc>
          <w:tcPr>
            <w:tcW w:w="508"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p>
          <w:p w:rsidR="00B178A3" w:rsidRPr="001617C9" w:rsidRDefault="00B178A3" w:rsidP="000F08EE">
            <w:pPr>
              <w:contextualSpacing/>
              <w:cnfStyle w:val="000000000000" w:firstRow="0" w:lastRow="0" w:firstColumn="0" w:lastColumn="0" w:oddVBand="0" w:evenVBand="0" w:oddHBand="0" w:evenHBand="0" w:firstRowFirstColumn="0" w:firstRowLastColumn="0" w:lastRowFirstColumn="0" w:lastRowLastColumn="0"/>
              <w:rPr>
                <w:sz w:val="16"/>
                <w:lang w:val="es-MX"/>
              </w:rPr>
            </w:pPr>
            <w:r w:rsidRPr="001617C9">
              <w:rPr>
                <w:sz w:val="16"/>
                <w:lang w:val="es-MX"/>
              </w:rPr>
              <w:t>s/i</w:t>
            </w:r>
          </w:p>
        </w:tc>
      </w:tr>
      <w:tr w:rsidR="00B178A3" w:rsidRPr="001617C9" w:rsidTr="001617C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07" w:type="pct"/>
            <w:vAlign w:val="bottom"/>
          </w:tcPr>
          <w:p w:rsidR="00B178A3" w:rsidRPr="001617C9" w:rsidRDefault="00B178A3" w:rsidP="000F08EE">
            <w:pPr>
              <w:jc w:val="left"/>
              <w:rPr>
                <w:b w:val="0"/>
                <w:sz w:val="16"/>
                <w:lang w:val="es-MX"/>
              </w:rPr>
            </w:pPr>
            <w:r w:rsidRPr="001617C9">
              <w:rPr>
                <w:b w:val="0"/>
                <w:sz w:val="16"/>
                <w:lang w:val="es-MX"/>
              </w:rPr>
              <w:t>Asociación Nacional de Vuelo Libre</w:t>
            </w:r>
          </w:p>
        </w:tc>
        <w:tc>
          <w:tcPr>
            <w:tcW w:w="684"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2</w:t>
            </w:r>
          </w:p>
        </w:tc>
        <w:tc>
          <w:tcPr>
            <w:tcW w:w="508" w:type="pct"/>
          </w:tcPr>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jc w:val="center"/>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35%</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2.91</w:t>
            </w:r>
          </w:p>
        </w:tc>
        <w:tc>
          <w:tcPr>
            <w:tcW w:w="640" w:type="pct"/>
            <w:vAlign w:val="center"/>
          </w:tcPr>
          <w:p w:rsidR="00B178A3" w:rsidRPr="001617C9" w:rsidRDefault="00B178A3" w:rsidP="000F08EE">
            <w:pPr>
              <w:jc w:val="center"/>
              <w:cnfStyle w:val="000000100000" w:firstRow="0" w:lastRow="0" w:firstColumn="0" w:lastColumn="0" w:oddVBand="0" w:evenVBand="0" w:oddHBand="1" w:evenHBand="0" w:firstRowFirstColumn="0" w:firstRowLastColumn="0" w:lastRowFirstColumn="0" w:lastRowLastColumn="0"/>
              <w:rPr>
                <w:bCs/>
                <w:color w:val="000000"/>
                <w:sz w:val="16"/>
              </w:rPr>
            </w:pPr>
            <w:r w:rsidRPr="001617C9">
              <w:rPr>
                <w:bCs/>
                <w:color w:val="000000"/>
                <w:sz w:val="16"/>
              </w:rPr>
              <w:t>2.91</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8"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c>
          <w:tcPr>
            <w:tcW w:w="506" w:type="pct"/>
          </w:tcPr>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p>
          <w:p w:rsidR="00B178A3" w:rsidRPr="001617C9" w:rsidRDefault="00B178A3" w:rsidP="000F08EE">
            <w:pPr>
              <w:contextualSpacing/>
              <w:cnfStyle w:val="000000100000" w:firstRow="0" w:lastRow="0" w:firstColumn="0" w:lastColumn="0" w:oddVBand="0" w:evenVBand="0" w:oddHBand="1" w:evenHBand="0" w:firstRowFirstColumn="0" w:firstRowLastColumn="0" w:lastRowFirstColumn="0" w:lastRowLastColumn="0"/>
              <w:rPr>
                <w:sz w:val="16"/>
                <w:lang w:val="es-MX"/>
              </w:rPr>
            </w:pPr>
            <w:r w:rsidRPr="001617C9">
              <w:rPr>
                <w:sz w:val="16"/>
                <w:lang w:val="es-MX"/>
              </w:rPr>
              <w:t>s/i</w:t>
            </w:r>
          </w:p>
        </w:tc>
      </w:tr>
    </w:tbl>
    <w:p w:rsidR="00B178A3" w:rsidRPr="00FB277B" w:rsidRDefault="00B178A3" w:rsidP="00A378C0">
      <w:pPr>
        <w:ind w:firstLine="708"/>
        <w:jc w:val="left"/>
        <w:rPr>
          <w:sz w:val="20"/>
          <w:lang w:val="es-ES"/>
        </w:rPr>
      </w:pPr>
      <w:r w:rsidRPr="00FB277B">
        <w:rPr>
          <w:sz w:val="20"/>
        </w:rPr>
        <w:t xml:space="preserve">Fuente: Elaboración </w:t>
      </w:r>
      <w:r w:rsidR="0095068A" w:rsidRPr="00FB277B">
        <w:rPr>
          <w:sz w:val="20"/>
        </w:rPr>
        <w:t>con base en SICOIN – SIPLAN</w:t>
      </w:r>
      <w:r w:rsidRPr="00FB277B">
        <w:rPr>
          <w:sz w:val="20"/>
        </w:rPr>
        <w:t xml:space="preserve"> de fecha 5/09/2019</w:t>
      </w:r>
    </w:p>
    <w:p w:rsidR="00A535D5" w:rsidRPr="007223FB" w:rsidRDefault="00A535D5" w:rsidP="00A535D5">
      <w:pPr>
        <w:rPr>
          <w:lang w:val="es-MX"/>
        </w:rPr>
      </w:pPr>
      <w:r w:rsidRPr="007223FB">
        <w:rPr>
          <w:lang w:val="es-MX"/>
        </w:rPr>
        <w:t>De acuerdo al análisis de la información reportada por las entidades deportivas, se concluye en la necesidad de mejorar la planificación y presupuesto con enfoque de resultados, porque hay debilidad en la definición de resultados y productos encaminados a la efectividad en el uso de los recursos destinados, además se recomienda a los entes rectores del deporte federado Cdag, Cog y Conader dar acompañamiento y asistencia técnica en materia de administración enfocada a resultados a las Federaciones y Asociaciones Deportivas Nacionales. Cabe mencionar que sólo las federaciones usan Siges-Sicoin.</w:t>
      </w:r>
    </w:p>
    <w:p w:rsidR="007747BC" w:rsidRPr="007223FB" w:rsidRDefault="005D60A0" w:rsidP="001617C9">
      <w:pPr>
        <w:pStyle w:val="Ttulo2"/>
        <w:numPr>
          <w:ilvl w:val="0"/>
          <w:numId w:val="0"/>
        </w:numPr>
        <w:spacing w:before="120" w:after="120" w:line="240" w:lineRule="auto"/>
        <w:ind w:left="936" w:hanging="576"/>
        <w:rPr>
          <w:szCs w:val="22"/>
          <w:lang w:val="es-ES"/>
        </w:rPr>
      </w:pPr>
      <w:bookmarkStart w:id="122" w:name="_Toc19527455"/>
      <w:r>
        <w:rPr>
          <w:szCs w:val="22"/>
          <w:lang w:val="es-ES"/>
        </w:rPr>
        <w:t>5.5</w:t>
      </w:r>
      <w:r>
        <w:rPr>
          <w:szCs w:val="22"/>
          <w:lang w:val="es-ES"/>
        </w:rPr>
        <w:tab/>
      </w:r>
      <w:r w:rsidR="007747BC" w:rsidRPr="007223FB">
        <w:rPr>
          <w:szCs w:val="22"/>
          <w:lang w:val="es-ES"/>
        </w:rPr>
        <w:t>Otros Organismos del Estado</w:t>
      </w:r>
      <w:bookmarkEnd w:id="122"/>
    </w:p>
    <w:p w:rsidR="006B05FA"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Congreso de la República</w:t>
      </w:r>
      <w:r w:rsidR="00A378C0" w:rsidRPr="007223FB">
        <w:rPr>
          <w:b/>
          <w:lang w:val="es-ES" w:eastAsia="es-GT"/>
        </w:rPr>
        <w:t xml:space="preserve"> –CR</w:t>
      </w:r>
    </w:p>
    <w:p w:rsidR="00A378C0" w:rsidRPr="007223FB" w:rsidRDefault="00A378C0" w:rsidP="005D60A0">
      <w:pPr>
        <w:autoSpaceDE w:val="0"/>
        <w:autoSpaceDN w:val="0"/>
        <w:adjustRightInd w:val="0"/>
        <w:spacing w:before="120" w:after="120" w:line="240" w:lineRule="auto"/>
        <w:rPr>
          <w:rFonts w:cs="Candara"/>
        </w:rPr>
      </w:pPr>
      <w:r w:rsidRPr="007223FB">
        <w:rPr>
          <w:rFonts w:cs="Candara"/>
        </w:rPr>
        <w:t xml:space="preserve">El Congreso de la República, a quien le corresponde la potestad legislativa del Estado. Está compuesto por diputados electos directamente por sufragio universal y secreto. Está integrado por Comisiones Permanentes, desde donde se abordan las diferentes temáticas que afectan el desarrollo del país. Dentro de sus funciones está la aprobación del presupuesto de ingresos y egresos de la nación, la interpelación a los ministros de Estado, aprobar antes de la ratificación los Tratados y Convenios Internacionales suscritos por el Estado de Guatemala, y la citación de funcionarios y funcionarias públicos para atender asuntos de sus entidades. </w:t>
      </w:r>
    </w:p>
    <w:p w:rsidR="00A378C0" w:rsidRPr="007223FB" w:rsidRDefault="00A378C0" w:rsidP="005D60A0">
      <w:pPr>
        <w:autoSpaceDE w:val="0"/>
        <w:autoSpaceDN w:val="0"/>
        <w:adjustRightInd w:val="0"/>
        <w:spacing w:before="120" w:after="120" w:line="240" w:lineRule="auto"/>
        <w:rPr>
          <w:rFonts w:cs="Candara"/>
        </w:rPr>
      </w:pPr>
      <w:r w:rsidRPr="007223FB">
        <w:rPr>
          <w:rFonts w:cs="Candara"/>
        </w:rPr>
        <w:t>En cumplimiento de su mandato, el Congreso define cuatro resultados institucionales: RI1 “Apoyo, asesoramiento y asistencia las comisiones de trabajo”, RI2 “Decretar leyes”, RI3 “Registro y control de los actos legislativos” y RI4 “Apoyo, asesoramiento y asistencia las comisiones de trabajo”, el Congreso de la Republica no reportó avance obtenido en los resultados a agosto 2019.</w:t>
      </w:r>
    </w:p>
    <w:p w:rsidR="00A378C0" w:rsidRPr="007223FB" w:rsidRDefault="00A378C0" w:rsidP="005D60A0">
      <w:pPr>
        <w:autoSpaceDE w:val="0"/>
        <w:autoSpaceDN w:val="0"/>
        <w:adjustRightInd w:val="0"/>
        <w:spacing w:before="120" w:after="120" w:line="240" w:lineRule="auto"/>
        <w:rPr>
          <w:rFonts w:cs="Candara"/>
        </w:rPr>
      </w:pPr>
      <w:r w:rsidRPr="007223FB">
        <w:rPr>
          <w:rFonts w:cs="Candara"/>
        </w:rPr>
        <w:lastRenderedPageBreak/>
        <w:t>Para el segundo cuatrimestre y el acumulado a agosto del 2019, el Congreso de la República registra una ejecución de metas físicas y financieras para sus productos de acuerdo a lo programado en el POA 2019, a excepción del producto “Decretar Leyes” el cual tuvo un alcance en la meta física del 0%  y 25.56 % de la meta financiera para el periodo de mayo a agosto de 2019, mientras que para la el avance acumulado de enero a agosto de 2019 alcanzo un alcance del 21.05% en la meta física  y un 50.94% de alcance en la meta financiera.</w:t>
      </w:r>
    </w:p>
    <w:p w:rsidR="00A378C0" w:rsidRPr="007223FB" w:rsidRDefault="00A378C0" w:rsidP="005D60A0">
      <w:pPr>
        <w:autoSpaceDE w:val="0"/>
        <w:autoSpaceDN w:val="0"/>
        <w:adjustRightInd w:val="0"/>
        <w:spacing w:before="120" w:after="120" w:line="240" w:lineRule="auto"/>
        <w:rPr>
          <w:rFonts w:cs="Candara"/>
        </w:rPr>
      </w:pPr>
      <w:r w:rsidRPr="007223FB">
        <w:rPr>
          <w:rFonts w:cs="Candara"/>
        </w:rPr>
        <w:t>Para el ejercicio fiscal 2019, al Congreso le fue asignado Q907.436 millones el cual permanece vigente. La ejecución de mayo a agosto fue de Q258.65 millones equivalente al 28.50% de avance y la ejecución acumulada de enero a agosto fue de Q476.86 millones equivalente al 52.55%, por lo que tiene pendiente de ejecutar un 47.45%.</w:t>
      </w:r>
    </w:p>
    <w:p w:rsidR="00A378C0" w:rsidRPr="007223FB" w:rsidRDefault="00A378C0" w:rsidP="005D60A0">
      <w:pPr>
        <w:autoSpaceDE w:val="0"/>
        <w:autoSpaceDN w:val="0"/>
        <w:adjustRightInd w:val="0"/>
        <w:spacing w:before="120" w:after="120" w:line="240" w:lineRule="auto"/>
        <w:rPr>
          <w:rFonts w:cs="Candara"/>
        </w:rPr>
      </w:pPr>
      <w:r w:rsidRPr="007223FB">
        <w:rPr>
          <w:rFonts w:cs="Candara"/>
        </w:rPr>
        <w:t>El reto más importante para el Congreso de le Republica para el tercer cuatrimestre del 2019, es poder plantear Resultados Institucionales que cumplan con los criterios de la Gestión por Resultados.</w:t>
      </w:r>
    </w:p>
    <w:p w:rsidR="00142D6B" w:rsidRPr="007223FB" w:rsidRDefault="006B05FA" w:rsidP="000B07D9">
      <w:pPr>
        <w:pStyle w:val="Prrafodelista"/>
        <w:numPr>
          <w:ilvl w:val="0"/>
          <w:numId w:val="5"/>
        </w:numPr>
        <w:spacing w:before="120" w:after="120" w:line="240" w:lineRule="auto"/>
        <w:contextualSpacing w:val="0"/>
        <w:rPr>
          <w:b/>
          <w:lang w:val="es-ES" w:eastAsia="es-GT"/>
        </w:rPr>
      </w:pPr>
      <w:r w:rsidRPr="007223FB">
        <w:rPr>
          <w:b/>
          <w:lang w:val="es-ES" w:eastAsia="es-GT"/>
        </w:rPr>
        <w:t>Organismo Judicial</w:t>
      </w:r>
      <w:r w:rsidR="00A378C0" w:rsidRPr="007223FB">
        <w:rPr>
          <w:b/>
          <w:lang w:val="es-ES" w:eastAsia="es-GT"/>
        </w:rPr>
        <w:t xml:space="preserve"> –OJ-</w:t>
      </w:r>
    </w:p>
    <w:p w:rsidR="007724F7" w:rsidRDefault="007724F7" w:rsidP="005D60A0">
      <w:pPr>
        <w:spacing w:before="120" w:after="120" w:line="240" w:lineRule="auto"/>
      </w:pPr>
      <w:r w:rsidRPr="007223FB">
        <w:t xml:space="preserve">Para el presente cuatrimestre, la institución no envió la información solicitada para poder incluirla dentro del informe. </w:t>
      </w:r>
    </w:p>
    <w:p w:rsidR="0085409D" w:rsidRDefault="0085409D">
      <w:pPr>
        <w:jc w:val="left"/>
      </w:pPr>
      <w:r>
        <w:br w:type="page"/>
      </w:r>
    </w:p>
    <w:p w:rsidR="00C23BD0" w:rsidRPr="006F723D" w:rsidRDefault="00C23BD0" w:rsidP="006F723D">
      <w:pPr>
        <w:pStyle w:val="Ttulo1"/>
        <w:shd w:val="clear" w:color="auto" w:fill="BDD6EE" w:themeFill="accent1" w:themeFillTint="66"/>
        <w:rPr>
          <w:rFonts w:eastAsia="Times New Roman"/>
          <w:i w:val="0"/>
          <w:lang w:val="es-ES" w:eastAsia="es-ES"/>
        </w:rPr>
      </w:pPr>
      <w:bookmarkStart w:id="123" w:name="_Toc19527456"/>
      <w:r w:rsidRPr="006F723D">
        <w:rPr>
          <w:rFonts w:eastAsia="Times New Roman"/>
          <w:i w:val="0"/>
          <w:lang w:val="es-ES" w:eastAsia="es-ES"/>
        </w:rPr>
        <w:lastRenderedPageBreak/>
        <w:t>Conclusiones</w:t>
      </w:r>
      <w:bookmarkEnd w:id="123"/>
      <w:r w:rsidRPr="006F723D">
        <w:rPr>
          <w:rFonts w:eastAsia="Times New Roman"/>
          <w:i w:val="0"/>
          <w:lang w:val="es-ES" w:eastAsia="es-ES"/>
        </w:rPr>
        <w:t xml:space="preserve"> </w:t>
      </w:r>
    </w:p>
    <w:p w:rsidR="00A27FB7" w:rsidRDefault="00A27FB7" w:rsidP="00A27FB7">
      <w:pPr>
        <w:spacing w:after="0" w:line="239" w:lineRule="auto"/>
        <w:ind w:right="58"/>
        <w:rPr>
          <w:rFonts w:eastAsia="Candara" w:cs="Candara"/>
          <w:spacing w:val="1"/>
        </w:rPr>
      </w:pPr>
    </w:p>
    <w:p w:rsidR="00A27FB7" w:rsidRPr="007223FB" w:rsidRDefault="00A27FB7" w:rsidP="00A27FB7">
      <w:pPr>
        <w:spacing w:after="0" w:line="239" w:lineRule="auto"/>
        <w:ind w:right="58"/>
        <w:rPr>
          <w:rFonts w:eastAsia="Candara" w:cs="Candara"/>
        </w:rPr>
      </w:pPr>
      <w:r>
        <w:rPr>
          <w:rFonts w:eastAsia="Candara" w:cs="Candara"/>
          <w:spacing w:val="1"/>
        </w:rPr>
        <w:t xml:space="preserve">Con el objetivo de mostrar el desempeño de la institucionalidad pública, teniendo como referente </w:t>
      </w:r>
      <w:r w:rsidRPr="007223FB">
        <w:rPr>
          <w:rFonts w:eastAsia="Candara" w:cs="Candara"/>
        </w:rPr>
        <w:t>el ma</w:t>
      </w:r>
      <w:r w:rsidRPr="007223FB">
        <w:rPr>
          <w:rFonts w:eastAsia="Candara" w:cs="Candara"/>
          <w:spacing w:val="-1"/>
        </w:rPr>
        <w:t>r</w:t>
      </w:r>
      <w:r w:rsidRPr="007223FB">
        <w:rPr>
          <w:rFonts w:eastAsia="Candara" w:cs="Candara"/>
          <w:spacing w:val="1"/>
        </w:rPr>
        <w:t>c</w:t>
      </w:r>
      <w:r w:rsidRPr="007223FB">
        <w:rPr>
          <w:rFonts w:eastAsia="Candara" w:cs="Candara"/>
        </w:rPr>
        <w:t xml:space="preserve">o </w:t>
      </w:r>
      <w:r w:rsidRPr="007223FB">
        <w:rPr>
          <w:rFonts w:eastAsia="Candara" w:cs="Candara"/>
          <w:spacing w:val="1"/>
        </w:rPr>
        <w:t>d</w:t>
      </w:r>
      <w:r w:rsidRPr="007223FB">
        <w:rPr>
          <w:rFonts w:eastAsia="Candara" w:cs="Candara"/>
        </w:rPr>
        <w:t>e la</w:t>
      </w:r>
      <w:r w:rsidRPr="007223FB">
        <w:rPr>
          <w:rFonts w:eastAsia="Candara" w:cs="Candara"/>
          <w:spacing w:val="-2"/>
        </w:rPr>
        <w:t xml:space="preserve"> </w:t>
      </w:r>
      <w:r w:rsidRPr="007223FB">
        <w:rPr>
          <w:rFonts w:eastAsia="Candara" w:cs="Candara"/>
          <w:spacing w:val="1"/>
        </w:rPr>
        <w:t>P</w:t>
      </w:r>
      <w:r w:rsidRPr="007223FB">
        <w:rPr>
          <w:rFonts w:eastAsia="Candara" w:cs="Candara"/>
          <w:spacing w:val="-1"/>
        </w:rPr>
        <w:t>o</w:t>
      </w:r>
      <w:r w:rsidRPr="007223FB">
        <w:rPr>
          <w:rFonts w:eastAsia="Candara" w:cs="Candara"/>
        </w:rPr>
        <w:t>líti</w:t>
      </w:r>
      <w:r w:rsidRPr="007223FB">
        <w:rPr>
          <w:rFonts w:eastAsia="Candara" w:cs="Candara"/>
          <w:spacing w:val="1"/>
        </w:rPr>
        <w:t>c</w:t>
      </w:r>
      <w:r w:rsidRPr="007223FB">
        <w:rPr>
          <w:rFonts w:eastAsia="Candara" w:cs="Candara"/>
        </w:rPr>
        <w:t>a</w:t>
      </w:r>
      <w:r w:rsidRPr="007223FB">
        <w:rPr>
          <w:rFonts w:eastAsia="Candara" w:cs="Candara"/>
          <w:spacing w:val="-2"/>
        </w:rPr>
        <w:t xml:space="preserve"> </w:t>
      </w:r>
      <w:r w:rsidRPr="007223FB">
        <w:rPr>
          <w:rFonts w:eastAsia="Candara" w:cs="Candara"/>
        </w:rPr>
        <w:t>Ge</w:t>
      </w:r>
      <w:r w:rsidRPr="007223FB">
        <w:rPr>
          <w:rFonts w:eastAsia="Candara" w:cs="Candara"/>
          <w:spacing w:val="1"/>
        </w:rPr>
        <w:t>n</w:t>
      </w:r>
      <w:r w:rsidRPr="007223FB">
        <w:rPr>
          <w:rFonts w:eastAsia="Candara" w:cs="Candara"/>
        </w:rPr>
        <w:t>e</w:t>
      </w:r>
      <w:r w:rsidRPr="007223FB">
        <w:rPr>
          <w:rFonts w:eastAsia="Candara" w:cs="Candara"/>
          <w:spacing w:val="1"/>
        </w:rPr>
        <w:t>r</w:t>
      </w:r>
      <w:r w:rsidRPr="007223FB">
        <w:rPr>
          <w:rFonts w:eastAsia="Candara" w:cs="Candara"/>
        </w:rPr>
        <w:t>al</w:t>
      </w:r>
      <w:r w:rsidRPr="007223FB">
        <w:rPr>
          <w:rFonts w:eastAsia="Candara" w:cs="Candara"/>
          <w:spacing w:val="-2"/>
        </w:rPr>
        <w:t xml:space="preserve"> </w:t>
      </w:r>
      <w:r w:rsidRPr="007223FB">
        <w:rPr>
          <w:rFonts w:eastAsia="Candara" w:cs="Candara"/>
          <w:spacing w:val="1"/>
        </w:rPr>
        <w:t>d</w:t>
      </w:r>
      <w:r w:rsidRPr="007223FB">
        <w:rPr>
          <w:rFonts w:eastAsia="Candara" w:cs="Candara"/>
        </w:rPr>
        <w:t>e G</w:t>
      </w:r>
      <w:r w:rsidRPr="007223FB">
        <w:rPr>
          <w:rFonts w:eastAsia="Candara" w:cs="Candara"/>
          <w:spacing w:val="-1"/>
        </w:rPr>
        <w:t>o</w:t>
      </w:r>
      <w:r w:rsidRPr="007223FB">
        <w:rPr>
          <w:rFonts w:eastAsia="Candara" w:cs="Candara"/>
        </w:rPr>
        <w:t>bie</w:t>
      </w:r>
      <w:r w:rsidRPr="007223FB">
        <w:rPr>
          <w:rFonts w:eastAsia="Candara" w:cs="Candara"/>
          <w:spacing w:val="1"/>
        </w:rPr>
        <w:t>rn</w:t>
      </w:r>
      <w:r w:rsidRPr="007223FB">
        <w:rPr>
          <w:rFonts w:eastAsia="Candara" w:cs="Candara"/>
        </w:rPr>
        <w:t>o</w:t>
      </w:r>
      <w:r w:rsidRPr="007223FB">
        <w:rPr>
          <w:rFonts w:eastAsia="Candara" w:cs="Candara"/>
          <w:spacing w:val="-3"/>
        </w:rPr>
        <w:t xml:space="preserve"> </w:t>
      </w:r>
      <w:r w:rsidRPr="007223FB">
        <w:rPr>
          <w:rFonts w:eastAsia="Candara" w:cs="Candara"/>
        </w:rPr>
        <w:t>y</w:t>
      </w:r>
      <w:r w:rsidRPr="007223FB">
        <w:rPr>
          <w:rFonts w:eastAsia="Candara" w:cs="Candara"/>
          <w:spacing w:val="1"/>
        </w:rPr>
        <w:t xml:space="preserve"> </w:t>
      </w:r>
      <w:r w:rsidRPr="007223FB">
        <w:rPr>
          <w:rFonts w:eastAsia="Candara" w:cs="Candara"/>
        </w:rPr>
        <w:t>ba</w:t>
      </w:r>
      <w:r w:rsidRPr="007223FB">
        <w:rPr>
          <w:rFonts w:eastAsia="Candara" w:cs="Candara"/>
          <w:spacing w:val="-2"/>
        </w:rPr>
        <w:t>j</w:t>
      </w:r>
      <w:r w:rsidRPr="007223FB">
        <w:rPr>
          <w:rFonts w:eastAsia="Candara" w:cs="Candara"/>
        </w:rPr>
        <w:t>o</w:t>
      </w:r>
      <w:r w:rsidRPr="007223FB">
        <w:rPr>
          <w:rFonts w:eastAsia="Candara" w:cs="Candara"/>
          <w:spacing w:val="-2"/>
        </w:rPr>
        <w:t xml:space="preserve"> </w:t>
      </w:r>
      <w:r w:rsidRPr="007223FB">
        <w:rPr>
          <w:rFonts w:eastAsia="Candara" w:cs="Candara"/>
        </w:rPr>
        <w:t>el e</w:t>
      </w:r>
      <w:r w:rsidRPr="007223FB">
        <w:rPr>
          <w:rFonts w:eastAsia="Candara" w:cs="Candara"/>
          <w:spacing w:val="1"/>
        </w:rPr>
        <w:t>n</w:t>
      </w:r>
      <w:r w:rsidRPr="007223FB">
        <w:rPr>
          <w:rFonts w:eastAsia="Candara" w:cs="Candara"/>
        </w:rPr>
        <w:t>f</w:t>
      </w:r>
      <w:r w:rsidRPr="007223FB">
        <w:rPr>
          <w:rFonts w:eastAsia="Candara" w:cs="Candara"/>
          <w:spacing w:val="-1"/>
        </w:rPr>
        <w:t>o</w:t>
      </w:r>
      <w:r w:rsidRPr="007223FB">
        <w:rPr>
          <w:rFonts w:eastAsia="Candara" w:cs="Candara"/>
        </w:rPr>
        <w:t xml:space="preserve">que </w:t>
      </w:r>
      <w:r w:rsidRPr="007223FB">
        <w:rPr>
          <w:rFonts w:eastAsia="Candara" w:cs="Candara"/>
          <w:spacing w:val="1"/>
        </w:rPr>
        <w:t>d</w:t>
      </w:r>
      <w:r w:rsidRPr="007223FB">
        <w:rPr>
          <w:rFonts w:eastAsia="Candara" w:cs="Candara"/>
        </w:rPr>
        <w:t>e la Ge</w:t>
      </w:r>
      <w:r w:rsidRPr="007223FB">
        <w:rPr>
          <w:rFonts w:eastAsia="Candara" w:cs="Candara"/>
          <w:spacing w:val="1"/>
        </w:rPr>
        <w:t>s</w:t>
      </w:r>
      <w:r w:rsidRPr="007223FB">
        <w:rPr>
          <w:rFonts w:eastAsia="Candara" w:cs="Candara"/>
        </w:rPr>
        <w:t>ti</w:t>
      </w:r>
      <w:r w:rsidRPr="007223FB">
        <w:rPr>
          <w:rFonts w:eastAsia="Candara" w:cs="Candara"/>
          <w:spacing w:val="-3"/>
        </w:rPr>
        <w:t>ó</w:t>
      </w:r>
      <w:r w:rsidRPr="007223FB">
        <w:rPr>
          <w:rFonts w:eastAsia="Candara" w:cs="Candara"/>
        </w:rPr>
        <w:t>n</w:t>
      </w:r>
      <w:r w:rsidRPr="007223FB">
        <w:rPr>
          <w:rFonts w:eastAsia="Candara" w:cs="Candara"/>
          <w:spacing w:val="-1"/>
        </w:rPr>
        <w:t xml:space="preserve"> </w:t>
      </w:r>
      <w:r w:rsidRPr="007223FB">
        <w:rPr>
          <w:rFonts w:eastAsia="Candara" w:cs="Candara"/>
        </w:rPr>
        <w:t>p</w:t>
      </w:r>
      <w:r w:rsidRPr="007223FB">
        <w:rPr>
          <w:rFonts w:eastAsia="Candara" w:cs="Candara"/>
          <w:spacing w:val="-1"/>
        </w:rPr>
        <w:t>o</w:t>
      </w:r>
      <w:r w:rsidRPr="007223FB">
        <w:rPr>
          <w:rFonts w:eastAsia="Candara" w:cs="Candara"/>
        </w:rPr>
        <w:t>r</w:t>
      </w:r>
      <w:r w:rsidRPr="007223FB">
        <w:rPr>
          <w:rFonts w:eastAsia="Candara" w:cs="Candara"/>
          <w:spacing w:val="1"/>
        </w:rPr>
        <w:t xml:space="preserve"> R</w:t>
      </w:r>
      <w:r w:rsidRPr="007223FB">
        <w:rPr>
          <w:rFonts w:eastAsia="Candara" w:cs="Candara"/>
          <w:spacing w:val="-3"/>
        </w:rPr>
        <w:t>e</w:t>
      </w:r>
      <w:r w:rsidRPr="007223FB">
        <w:rPr>
          <w:rFonts w:eastAsia="Candara" w:cs="Candara"/>
          <w:spacing w:val="1"/>
        </w:rPr>
        <w:t>s</w:t>
      </w:r>
      <w:r w:rsidRPr="007223FB">
        <w:rPr>
          <w:rFonts w:eastAsia="Candara" w:cs="Candara"/>
        </w:rPr>
        <w:t>ulta</w:t>
      </w:r>
      <w:r w:rsidRPr="007223FB">
        <w:rPr>
          <w:rFonts w:eastAsia="Candara" w:cs="Candara"/>
          <w:spacing w:val="1"/>
        </w:rPr>
        <w:t>d</w:t>
      </w:r>
      <w:r w:rsidRPr="007223FB">
        <w:rPr>
          <w:rFonts w:eastAsia="Candara" w:cs="Candara"/>
          <w:spacing w:val="-3"/>
        </w:rPr>
        <w:t>o</w:t>
      </w:r>
      <w:r w:rsidRPr="007223FB">
        <w:rPr>
          <w:rFonts w:eastAsia="Candara" w:cs="Candara"/>
        </w:rPr>
        <w:t>s</w:t>
      </w:r>
      <w:r>
        <w:rPr>
          <w:rFonts w:eastAsia="Candara" w:cs="Candara"/>
        </w:rPr>
        <w:t>,</w:t>
      </w:r>
      <w:r w:rsidRPr="007223FB">
        <w:rPr>
          <w:rFonts w:eastAsia="Candara" w:cs="Candara"/>
          <w:spacing w:val="2"/>
        </w:rPr>
        <w:t xml:space="preserve"> </w:t>
      </w:r>
      <w:r w:rsidRPr="007223FB">
        <w:rPr>
          <w:rFonts w:eastAsia="Candara" w:cs="Candara"/>
          <w:spacing w:val="-1"/>
        </w:rPr>
        <w:t>s</w:t>
      </w:r>
      <w:r w:rsidRPr="007223FB">
        <w:rPr>
          <w:rFonts w:eastAsia="Candara" w:cs="Candara"/>
        </w:rPr>
        <w:t>e</w:t>
      </w:r>
      <w:r w:rsidRPr="007223FB">
        <w:rPr>
          <w:rFonts w:eastAsia="Candara" w:cs="Candara"/>
          <w:spacing w:val="1"/>
        </w:rPr>
        <w:t xml:space="preserve"> d</w:t>
      </w:r>
      <w:r w:rsidRPr="007223FB">
        <w:rPr>
          <w:rFonts w:eastAsia="Candara" w:cs="Candara"/>
        </w:rPr>
        <w:t>efi</w:t>
      </w:r>
      <w:r w:rsidRPr="007223FB">
        <w:rPr>
          <w:rFonts w:eastAsia="Candara" w:cs="Candara"/>
          <w:spacing w:val="1"/>
        </w:rPr>
        <w:t>n</w:t>
      </w:r>
      <w:r>
        <w:rPr>
          <w:rFonts w:eastAsia="Candara" w:cs="Candara"/>
          <w:spacing w:val="-2"/>
        </w:rPr>
        <w:t>ieron</w:t>
      </w:r>
      <w:r w:rsidRPr="007223FB">
        <w:rPr>
          <w:rFonts w:eastAsia="Candara" w:cs="Candara"/>
          <w:spacing w:val="2"/>
        </w:rPr>
        <w:t xml:space="preserve"> </w:t>
      </w:r>
      <w:r w:rsidRPr="007223FB">
        <w:rPr>
          <w:rFonts w:eastAsia="Candara" w:cs="Candara"/>
        </w:rPr>
        <w:t>14</w:t>
      </w:r>
      <w:r w:rsidRPr="007223FB">
        <w:rPr>
          <w:rFonts w:eastAsia="Candara" w:cs="Candara"/>
          <w:spacing w:val="1"/>
        </w:rPr>
        <w:t xml:space="preserve"> r</w:t>
      </w:r>
      <w:r w:rsidRPr="007223FB">
        <w:rPr>
          <w:rFonts w:eastAsia="Candara" w:cs="Candara"/>
        </w:rPr>
        <w:t>e</w:t>
      </w:r>
      <w:r w:rsidRPr="007223FB">
        <w:rPr>
          <w:rFonts w:eastAsia="Candara" w:cs="Candara"/>
          <w:spacing w:val="1"/>
        </w:rPr>
        <w:t>s</w:t>
      </w:r>
      <w:r w:rsidRPr="007223FB">
        <w:rPr>
          <w:rFonts w:eastAsia="Candara" w:cs="Candara"/>
        </w:rPr>
        <w:t>ult</w:t>
      </w:r>
      <w:r w:rsidRPr="007223FB">
        <w:rPr>
          <w:rFonts w:eastAsia="Candara" w:cs="Candara"/>
          <w:spacing w:val="-2"/>
        </w:rPr>
        <w:t>a</w:t>
      </w:r>
      <w:r w:rsidRPr="007223FB">
        <w:rPr>
          <w:rFonts w:eastAsia="Candara" w:cs="Candara"/>
          <w:spacing w:val="1"/>
        </w:rPr>
        <w:t>d</w:t>
      </w:r>
      <w:r w:rsidRPr="007223FB">
        <w:rPr>
          <w:rFonts w:eastAsia="Candara" w:cs="Candara"/>
          <w:spacing w:val="-1"/>
        </w:rPr>
        <w:t>o</w:t>
      </w:r>
      <w:r w:rsidRPr="007223FB">
        <w:rPr>
          <w:rFonts w:eastAsia="Candara" w:cs="Candara"/>
        </w:rPr>
        <w:t>s</w:t>
      </w:r>
      <w:r w:rsidRPr="007223FB">
        <w:rPr>
          <w:rFonts w:eastAsia="Candara" w:cs="Candara"/>
          <w:spacing w:val="2"/>
        </w:rPr>
        <w:t xml:space="preserve"> </w:t>
      </w:r>
      <w:r w:rsidRPr="007223FB">
        <w:rPr>
          <w:rFonts w:eastAsia="Candara" w:cs="Candara"/>
        </w:rPr>
        <w:t>e</w:t>
      </w:r>
      <w:r w:rsidRPr="007223FB">
        <w:rPr>
          <w:rFonts w:eastAsia="Candara" w:cs="Candara"/>
          <w:spacing w:val="1"/>
        </w:rPr>
        <w:t>s</w:t>
      </w:r>
      <w:r w:rsidRPr="007223FB">
        <w:rPr>
          <w:rFonts w:eastAsia="Candara" w:cs="Candara"/>
          <w:spacing w:val="-2"/>
        </w:rPr>
        <w:t>t</w:t>
      </w:r>
      <w:r w:rsidRPr="007223FB">
        <w:rPr>
          <w:rFonts w:eastAsia="Candara" w:cs="Candara"/>
          <w:spacing w:val="1"/>
        </w:rPr>
        <w:t>r</w:t>
      </w:r>
      <w:r w:rsidRPr="007223FB">
        <w:rPr>
          <w:rFonts w:eastAsia="Candara" w:cs="Candara"/>
        </w:rPr>
        <w:t>até</w:t>
      </w:r>
      <w:r w:rsidRPr="007223FB">
        <w:rPr>
          <w:rFonts w:eastAsia="Candara" w:cs="Candara"/>
          <w:spacing w:val="1"/>
        </w:rPr>
        <w:t>g</w:t>
      </w:r>
      <w:r w:rsidRPr="007223FB">
        <w:rPr>
          <w:rFonts w:eastAsia="Candara" w:cs="Candara"/>
          <w:spacing w:val="-2"/>
        </w:rPr>
        <w:t>i</w:t>
      </w:r>
      <w:r w:rsidRPr="007223FB">
        <w:rPr>
          <w:rFonts w:eastAsia="Candara" w:cs="Candara"/>
          <w:spacing w:val="1"/>
        </w:rPr>
        <w:t>c</w:t>
      </w:r>
      <w:r w:rsidRPr="007223FB">
        <w:rPr>
          <w:rFonts w:eastAsia="Candara" w:cs="Candara"/>
          <w:spacing w:val="-1"/>
        </w:rPr>
        <w:t>o</w:t>
      </w:r>
      <w:r w:rsidRPr="007223FB">
        <w:rPr>
          <w:rFonts w:eastAsia="Candara" w:cs="Candara"/>
          <w:spacing w:val="1"/>
        </w:rPr>
        <w:t>s.</w:t>
      </w:r>
      <w:r w:rsidRPr="007223FB">
        <w:rPr>
          <w:rFonts w:eastAsia="Candara" w:cs="Candara"/>
        </w:rPr>
        <w:t xml:space="preserve">  </w:t>
      </w:r>
      <w:r w:rsidRPr="007223FB">
        <w:rPr>
          <w:rFonts w:eastAsia="Candara" w:cs="Candara"/>
          <w:spacing w:val="14"/>
        </w:rPr>
        <w:t xml:space="preserve"> </w:t>
      </w:r>
      <w:r>
        <w:rPr>
          <w:rFonts w:eastAsia="Candara" w:cs="Candara"/>
          <w:spacing w:val="14"/>
        </w:rPr>
        <w:t>De esa cuenta, las instituciones vincularon parte de su producción para lograr alcanzar dichos resultados los cuales constituyen un compromiso político de la presente administración de gobierno tomando en cuenta el presente cuatrienio</w:t>
      </w:r>
      <w:r w:rsidRPr="007223FB">
        <w:rPr>
          <w:rFonts w:eastAsia="Candara" w:cs="Candara"/>
        </w:rPr>
        <w:t>.</w:t>
      </w:r>
    </w:p>
    <w:p w:rsidR="00A27FB7" w:rsidRDefault="00A27FB7" w:rsidP="00A27FB7">
      <w:pPr>
        <w:spacing w:before="1" w:after="0" w:line="160" w:lineRule="exact"/>
        <w:rPr>
          <w:rFonts w:eastAsia="Calibri" w:cs="Times New Roman"/>
        </w:rPr>
      </w:pPr>
    </w:p>
    <w:p w:rsidR="00A27FB7" w:rsidRPr="00422EDC" w:rsidRDefault="00A27FB7" w:rsidP="00422EDC">
      <w:pPr>
        <w:pStyle w:val="Prrafodelista"/>
        <w:numPr>
          <w:ilvl w:val="0"/>
          <w:numId w:val="9"/>
        </w:numPr>
        <w:rPr>
          <w:b/>
        </w:rPr>
      </w:pPr>
      <w:bookmarkStart w:id="124" w:name="_Toc17882675"/>
      <w:r w:rsidRPr="00422EDC">
        <w:rPr>
          <w:b/>
        </w:rPr>
        <w:t>Tolerancia cero a la corrupción y modernización del Estado</w:t>
      </w:r>
      <w:bookmarkEnd w:id="124"/>
    </w:p>
    <w:p w:rsidR="003702BF" w:rsidRPr="007223FB" w:rsidRDefault="003702BF" w:rsidP="003702BF">
      <w:pPr>
        <w:spacing w:after="0" w:line="240" w:lineRule="auto"/>
      </w:pPr>
      <w:r>
        <w:t>En este apartado, cabe destacar que algunas instituciones están realizando esfuerzos, especialmente a lo interno, para incorporar dentro de su planificación la metodología de la Gestión por Resultados. Además, algunas de ellas cuentan con controles internos, que coadyuven en la transparencia del uso de los recursos y mejorar el acceso a la información pública en cumplimiento a la Ley de acceso a la información pública; en otros instituciones se han conformado unidades especiales encargadas de verificar el cumplimiento de las normas internas y la detección de posibles actos anómalos en los cuales pueda incurrir su personal. Sin embargo, los esfuerzos aun necesitan canalizarse de forma más efectiva y avanzar a la institucionalización, como un mecanismo para su</w:t>
      </w:r>
      <w:r w:rsidRPr="007223FB">
        <w:t xml:space="preserve"> vinculación presupuestaria </w:t>
      </w:r>
      <w:r>
        <w:t xml:space="preserve">a este </w:t>
      </w:r>
      <w:r w:rsidRPr="007223FB">
        <w:t>eje.</w:t>
      </w:r>
    </w:p>
    <w:p w:rsidR="00A27FB7" w:rsidRDefault="00A27FB7" w:rsidP="00A27FB7">
      <w:pPr>
        <w:spacing w:before="1" w:after="0" w:line="160" w:lineRule="exact"/>
        <w:rPr>
          <w:rFonts w:eastAsia="Calibri" w:cs="Times New Roman"/>
        </w:rPr>
      </w:pPr>
    </w:p>
    <w:p w:rsidR="00A27FB7" w:rsidRPr="00422EDC" w:rsidRDefault="00A27FB7" w:rsidP="00422EDC">
      <w:pPr>
        <w:pStyle w:val="Prrafodelista"/>
        <w:numPr>
          <w:ilvl w:val="0"/>
          <w:numId w:val="9"/>
        </w:numPr>
        <w:rPr>
          <w:b/>
        </w:rPr>
      </w:pPr>
      <w:bookmarkStart w:id="125" w:name="_Toc17882676"/>
      <w:r w:rsidRPr="00422EDC">
        <w:rPr>
          <w:b/>
        </w:rPr>
        <w:t>Seguridad alimentaria y nutricional, salud integral y educación de calidad</w:t>
      </w:r>
      <w:bookmarkEnd w:id="125"/>
    </w:p>
    <w:p w:rsidR="003702BF" w:rsidRDefault="003702BF" w:rsidP="003702BF">
      <w:pPr>
        <w:rPr>
          <w:lang w:eastAsia="es-GT"/>
        </w:rPr>
      </w:pPr>
      <w:r>
        <w:rPr>
          <w:lang w:eastAsia="es-GT"/>
        </w:rPr>
        <w:t>En este apartado, las instituciones involucradas vincularon producción que contribuye a la reducción de la desnutrición crónica. No obstante, se evidenció que se hace necesario reforzar la calidad del gasto, ya que se observó que la producción en cuanto a esfuerzos preventivos como atenuantes no tuvo un avance significativo; el avance financiero de los productos, en su mayoría no sobrepasan el 50% lo cual denota que aún se hace necesario incrementar los esfuerzos realizados para cumplir con la meta establecida.</w:t>
      </w:r>
    </w:p>
    <w:p w:rsidR="003702BF" w:rsidRDefault="003702BF" w:rsidP="003702BF">
      <w:pPr>
        <w:rPr>
          <w:lang w:eastAsia="es-GT"/>
        </w:rPr>
      </w:pPr>
      <w:r>
        <w:rPr>
          <w:lang w:eastAsia="es-GT"/>
        </w:rPr>
        <w:t>En cuanto al tema de población subalimentada, únicamente se hace relevante mencionar que el Maga presenta un desafío para el tercer cuatrimestre ya que su ejecución en seis de los doce productos para el RE no presenta ejecución en el segundo cuatrimestre y en el acumulado, únicamente cuatro productos tienen ejecución que sobrepasa el 50% de su meta física; lo cual permite prever que no se alcanzará la meta.</w:t>
      </w:r>
    </w:p>
    <w:p w:rsidR="003702BF" w:rsidRDefault="003702BF" w:rsidP="003702BF">
      <w:pPr>
        <w:rPr>
          <w:lang w:eastAsia="es-GT"/>
        </w:rPr>
      </w:pPr>
      <w:r>
        <w:rPr>
          <w:lang w:eastAsia="es-GT"/>
        </w:rPr>
        <w:t>En el tema de mortalidad en la niñez, el Ministerio de Salud Pública y Asistencia Social, también reportó un avance financiero acumulado de su producción, por debajo del 50%. En relación a este tema, también se tiene el de la mortalidad materna. Se observó que si bien se tienen programas que coadyuvan a la consecución del resultado propuesto, algunos de los cuales son preventivos tuvieron recorte presupuestario. En adición, es posible afirmar que los programas actuales carecen de una estructura integral de atención a la mujer, para evitar las situaciones de riesgo, falta por definir de manera integral la etapa preconcepcional, prenatal, parto, postparto y atención de violencia sexual.</w:t>
      </w:r>
    </w:p>
    <w:p w:rsidR="0090636D" w:rsidRDefault="003702BF" w:rsidP="003702BF">
      <w:pPr>
        <w:rPr>
          <w:lang w:val="es-MX" w:eastAsia="es-GT"/>
        </w:rPr>
      </w:pPr>
      <w:r>
        <w:rPr>
          <w:lang w:eastAsia="es-GT"/>
        </w:rPr>
        <w:t>En el tema de incremento en la cobertura en educación preprimaria y primaria</w:t>
      </w:r>
      <w:r w:rsidR="00C147A0">
        <w:rPr>
          <w:lang w:eastAsia="es-GT"/>
        </w:rPr>
        <w:t>, en</w:t>
      </w:r>
      <w:r>
        <w:rPr>
          <w:lang w:eastAsia="es-GT"/>
        </w:rPr>
        <w:t xml:space="preserve"> el presente cuatrimestre, el Mineduc cuenta con poco avance financiero al respecto, mientras que el Mides por su parte si reportó un avance en más del 50%. Sin embargo, hay otros factores como: la infraestructura escolar, personal docente actualizado y calificado para el nivel y cursos que </w:t>
      </w:r>
      <w:r>
        <w:rPr>
          <w:lang w:eastAsia="es-GT"/>
        </w:rPr>
        <w:lastRenderedPageBreak/>
        <w:t>imparten,  revisión y actualización constante del Currículum Nacional Base, entre otros; si bien es cierto la cobertura nacional en el nivel primario ha mejorado, en el caso del nivel preprimario, constituye un desafío para el MINEDUC lograr la mejora de la cobertura de este nivel  por ser la etapa de la niñez en la que se adquieren las destrezas básicas para el desarrollo integral de la persona.</w:t>
      </w:r>
    </w:p>
    <w:p w:rsidR="00A27FB7" w:rsidRDefault="00A27FB7" w:rsidP="00A27FB7">
      <w:pPr>
        <w:spacing w:before="1" w:after="0" w:line="160" w:lineRule="exact"/>
        <w:rPr>
          <w:rFonts w:eastAsia="Calibri" w:cs="Times New Roman"/>
        </w:rPr>
      </w:pPr>
    </w:p>
    <w:p w:rsidR="00A27FB7" w:rsidRPr="00422EDC" w:rsidRDefault="00A27FB7" w:rsidP="00422EDC">
      <w:pPr>
        <w:pStyle w:val="Prrafodelista"/>
        <w:numPr>
          <w:ilvl w:val="0"/>
          <w:numId w:val="9"/>
        </w:numPr>
        <w:rPr>
          <w:b/>
        </w:rPr>
      </w:pPr>
      <w:bookmarkStart w:id="126" w:name="_Toc17882684"/>
      <w:r w:rsidRPr="00422EDC">
        <w:rPr>
          <w:b/>
        </w:rPr>
        <w:t>Fomento de las Mipymes, turismo, vivienda y trabajo digno y decente</w:t>
      </w:r>
      <w:bookmarkEnd w:id="126"/>
    </w:p>
    <w:p w:rsidR="003702BF" w:rsidRDefault="003702BF" w:rsidP="003702BF">
      <w:pPr>
        <w:autoSpaceDE w:val="0"/>
        <w:autoSpaceDN w:val="0"/>
        <w:adjustRightInd w:val="0"/>
        <w:spacing w:after="0" w:line="240" w:lineRule="auto"/>
        <w:rPr>
          <w:lang w:eastAsia="es-GT"/>
        </w:rPr>
      </w:pPr>
      <w:r>
        <w:rPr>
          <w:lang w:eastAsia="es-GT"/>
        </w:rPr>
        <w:t xml:space="preserve">En lo que respecta al tema de Competitividad turística, se observó que existe producción asociada. No obstante, al igual que en el caso de otros resultados mencionados, el avance financiero ha sido poco y la calidad del gasto en este rubro aún puede mejorar. </w:t>
      </w:r>
    </w:p>
    <w:p w:rsidR="003702BF" w:rsidRDefault="003702BF" w:rsidP="003702BF">
      <w:pPr>
        <w:autoSpaceDE w:val="0"/>
        <w:autoSpaceDN w:val="0"/>
        <w:adjustRightInd w:val="0"/>
        <w:spacing w:after="0" w:line="240" w:lineRule="auto"/>
        <w:rPr>
          <w:lang w:eastAsia="es-GT"/>
        </w:rPr>
      </w:pPr>
    </w:p>
    <w:p w:rsidR="003702BF" w:rsidRDefault="003702BF" w:rsidP="003702BF">
      <w:pPr>
        <w:autoSpaceDE w:val="0"/>
        <w:autoSpaceDN w:val="0"/>
        <w:adjustRightInd w:val="0"/>
        <w:spacing w:after="0" w:line="240" w:lineRule="auto"/>
        <w:rPr>
          <w:lang w:eastAsia="es-GT"/>
        </w:rPr>
      </w:pPr>
      <w:r>
        <w:rPr>
          <w:lang w:eastAsia="es-GT"/>
        </w:rPr>
        <w:t>En el caso de fomento de las Mipymes, se evidenció un ligero avance en términos financieros; lo cual se constituye en un desafío para el MINECO ya que las expectativas del fomento del empleo formal se encuentran en este sector por ser un factor dinámico del sector de la producción que ofrece mayores oportunidades para el acceso rápido a empleos.</w:t>
      </w:r>
    </w:p>
    <w:p w:rsidR="003702BF" w:rsidRDefault="003702BF" w:rsidP="003702BF">
      <w:pPr>
        <w:autoSpaceDE w:val="0"/>
        <w:autoSpaceDN w:val="0"/>
        <w:adjustRightInd w:val="0"/>
        <w:spacing w:after="0" w:line="240" w:lineRule="auto"/>
        <w:rPr>
          <w:lang w:eastAsia="es-GT"/>
        </w:rPr>
      </w:pPr>
    </w:p>
    <w:p w:rsidR="00A27FB7" w:rsidRDefault="003702BF" w:rsidP="003702BF">
      <w:pPr>
        <w:autoSpaceDE w:val="0"/>
        <w:autoSpaceDN w:val="0"/>
        <w:adjustRightInd w:val="0"/>
        <w:spacing w:after="0" w:line="240" w:lineRule="auto"/>
        <w:rPr>
          <w:lang w:eastAsia="es-GT"/>
        </w:rPr>
      </w:pPr>
      <w:r>
        <w:rPr>
          <w:lang w:eastAsia="es-GT"/>
        </w:rPr>
        <w:t xml:space="preserve"> En el caso de las intervenciones programadas para el alcance de la meta del resultado estratégico sobre vivienda, se pudo apreciar que se registró una baja calidad del gasto, baja eficacia, lo cual repercute en el poco acceso a vivienda digna a los sectores más vulnerables del país, y se corre el riesgo de no alcanzar la meta.</w:t>
      </w:r>
    </w:p>
    <w:p w:rsidR="003702BF" w:rsidRDefault="003702BF" w:rsidP="003702BF">
      <w:pPr>
        <w:autoSpaceDE w:val="0"/>
        <w:autoSpaceDN w:val="0"/>
        <w:adjustRightInd w:val="0"/>
        <w:spacing w:after="0" w:line="240" w:lineRule="auto"/>
        <w:rPr>
          <w:lang w:eastAsia="es-GT"/>
        </w:rPr>
      </w:pPr>
    </w:p>
    <w:p w:rsidR="00A27FB7" w:rsidRPr="00422EDC" w:rsidRDefault="00A27FB7" w:rsidP="00422EDC">
      <w:pPr>
        <w:pStyle w:val="Prrafodelista"/>
        <w:numPr>
          <w:ilvl w:val="0"/>
          <w:numId w:val="9"/>
        </w:numPr>
        <w:rPr>
          <w:b/>
        </w:rPr>
      </w:pPr>
      <w:bookmarkStart w:id="127" w:name="_Toc17882687"/>
      <w:r w:rsidRPr="00422EDC">
        <w:rPr>
          <w:b/>
        </w:rPr>
        <w:t>Seguridad ciudadana</w:t>
      </w:r>
      <w:bookmarkEnd w:id="127"/>
    </w:p>
    <w:p w:rsidR="003702BF" w:rsidRPr="003702BF" w:rsidRDefault="003702BF" w:rsidP="003702BF">
      <w:pPr>
        <w:rPr>
          <w:b/>
        </w:rPr>
      </w:pPr>
      <w:bookmarkStart w:id="128" w:name="_Toc17882690"/>
      <w:r w:rsidRPr="003702BF">
        <w:rPr>
          <w:lang w:eastAsia="es-GT"/>
        </w:rPr>
        <w:t>En el tema de Seguridad Ciudadana, el Ministerio de Gobernación como ente rector del ámbito de Seguridad Interior, es responsable de la consecución de los dos Resultados Estratégicos priorizados en la Política General de Gobierno, para el alcance de las metas propuestas. En esta línea, es loable el esfuerzo realizado, evidenciándose el hecho de que con la producción vinculada se han logrado avances significativos en el tema previéndose el cumplimiento de la meta definida al 2019.</w:t>
      </w:r>
    </w:p>
    <w:p w:rsidR="00A27FB7" w:rsidRPr="00422EDC" w:rsidRDefault="00A27FB7" w:rsidP="003702BF">
      <w:pPr>
        <w:pStyle w:val="Prrafodelista"/>
        <w:numPr>
          <w:ilvl w:val="0"/>
          <w:numId w:val="9"/>
        </w:numPr>
        <w:rPr>
          <w:b/>
        </w:rPr>
      </w:pPr>
      <w:r w:rsidRPr="00422EDC">
        <w:rPr>
          <w:b/>
        </w:rPr>
        <w:t>Ambiente y recursos naturales</w:t>
      </w:r>
      <w:bookmarkEnd w:id="128"/>
    </w:p>
    <w:p w:rsidR="003702BF" w:rsidRDefault="003702BF" w:rsidP="003702BF">
      <w:pPr>
        <w:rPr>
          <w:lang w:eastAsia="es-GT"/>
        </w:rPr>
      </w:pPr>
      <w:bookmarkStart w:id="129" w:name="_Toc19201214"/>
      <w:bookmarkStart w:id="130" w:name="_Toc19527443"/>
      <w:r>
        <w:rPr>
          <w:lang w:eastAsia="es-GT"/>
        </w:rPr>
        <w:t xml:space="preserve">En el tema de cobertura forestal del territorio nacional, se reportó que se han tomado medidas y se ha contado con producción institucional para lograr alcanzar este resultado. No obstante, partiendo de la información proporcionada, se visualiza que hace falta priorizar áreas de mayor interés en las cuales se pueda incidir con un mayor impacto; dado que las acciones llevadas a cabo en la actualidad se hacen insuficientes para alcanzar el resultado establecido, debiendo reorientar y aumentar todos los esfuerzos para recuperar las áreas degradadas y conservar las áreas que actualmente están expuestas. </w:t>
      </w:r>
    </w:p>
    <w:p w:rsidR="003702BF" w:rsidRDefault="003702BF" w:rsidP="003702BF">
      <w:pPr>
        <w:rPr>
          <w:lang w:eastAsia="es-GT"/>
        </w:rPr>
      </w:pPr>
      <w:r>
        <w:rPr>
          <w:lang w:eastAsia="es-GT"/>
        </w:rPr>
        <w:t xml:space="preserve">En el tema de capacidad de resiliencia y adaptación al cambio climático, el MARN cuenta con alguna producción vinculada al tema, no obstante, el avance financiero no supera el 50%. Aunado a lo anterior, actualmente no existen indicadores de impacto para este resultado, puesto que no se han definido las variables del Índice de Vulnerabilidad Climática para el país, de tal cuenta no es posible comparar si las intervenciones propuestas, están teniendo la eficacia necesaria para reducir la vulnerabilidad e incrementar la capacidad de resiliencia del país, ante los efectos producidos por el Cambio Climático. </w:t>
      </w:r>
    </w:p>
    <w:p w:rsidR="003702BF" w:rsidRDefault="003702BF" w:rsidP="003702BF">
      <w:pPr>
        <w:rPr>
          <w:lang w:eastAsia="es-GT"/>
        </w:rPr>
      </w:pPr>
      <w:r>
        <w:rPr>
          <w:lang w:eastAsia="es-GT"/>
        </w:rPr>
        <w:lastRenderedPageBreak/>
        <w:t xml:space="preserve">En el tema del incremento de la participación de la energía renovable en la matriz energética, de acuerdo con la información obtenida, se puede concluir que para tener una matriz energética diversificada, orientada a la utilización de los recursos renovables, es necesario añadir nuevas centrales de generación eléctrica que utilicen recursos energéticos renovables al parque de generación del país . </w:t>
      </w:r>
    </w:p>
    <w:p w:rsidR="00205E51" w:rsidRPr="00744DFB" w:rsidRDefault="00205E51" w:rsidP="00205E51">
      <w:pPr>
        <w:rPr>
          <w:rFonts w:eastAsia="Times New Roman" w:cs="Times New Roman"/>
          <w:b/>
          <w:lang w:val="es-ES" w:eastAsia="es-ES"/>
        </w:rPr>
      </w:pPr>
      <w:r w:rsidRPr="00744DFB">
        <w:rPr>
          <w:rFonts w:eastAsia="Times New Roman" w:cs="Times New Roman"/>
          <w:b/>
          <w:lang w:val="es-ES" w:eastAsia="es-ES"/>
        </w:rPr>
        <w:t>Inversión institucional y territorial</w:t>
      </w:r>
    </w:p>
    <w:p w:rsidR="00205E51" w:rsidRPr="00205E51" w:rsidRDefault="00205E51" w:rsidP="00205E51">
      <w:pPr>
        <w:rPr>
          <w:rFonts w:eastAsia="Calibri" w:cs="Times New Roman"/>
        </w:rPr>
      </w:pPr>
      <w:r w:rsidRPr="00205E51">
        <w:rPr>
          <w:rFonts w:eastAsia="Calibri" w:cs="Times New Roman"/>
        </w:rPr>
        <w:t xml:space="preserve">En términos generales, según la información obtenida, con relación a la Inversión Pública y su ejecución para el presente cuatrimestre se orientó al tema de Transporte y proyectos de agua y saneamiento en su mayoría.   </w:t>
      </w: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r w:rsidRPr="00205E51">
        <w:rPr>
          <w:rFonts w:eastAsia="Times New Roman" w:cs="Times New Roman"/>
          <w:color w:val="000000"/>
          <w:lang w:eastAsia="es-GT"/>
        </w:rPr>
        <w:t>Según los datos del Sistema de Información de Inversión Pública (SINIP) al 02 de septiembre de 2019, las entidades de Gobierno Central, Consejos Departamentales de Desarrollo y los Gobiernos Locales alcanzaron una ejecución de la inversión pública al finalizar el segundo cuatrimestre del ejercicio Fiscal 2019 del 50.7%, 14.2% y 40.0%, respectivamente.  Comparativamente y según tasa de variación, este ejercicio fiscal (2019) con respecto al segundo cuatrimestre de 2018, fue superado en 64.0%, 448.2% y 96.4%, respectivamente.</w:t>
      </w: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r w:rsidRPr="00205E51">
        <w:rPr>
          <w:rFonts w:eastAsia="Times New Roman" w:cs="Times New Roman"/>
          <w:color w:val="000000"/>
          <w:lang w:eastAsia="es-GT"/>
        </w:rPr>
        <w:t>Según tipo de proyecto, el 42.2% está destinado para proyectos que forman nuevo capital fijo (construcción y ampliaciones), 46.6% para proyecto de reposición de infraestructura existente (mejoramientos, rehabilitaciones y reposiciones) y el 11.2% para proyectos que no forma capital fijo, estos últimos, en su mayoría a cargo de los gobiernos locales.</w:t>
      </w: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r w:rsidRPr="00205E51">
        <w:rPr>
          <w:rFonts w:eastAsia="Times New Roman" w:cs="Times New Roman"/>
          <w:color w:val="000000"/>
          <w:lang w:eastAsia="es-GT"/>
        </w:rPr>
        <w:t>Según prioridades, por Función las entidades de Gobierno Central orientaron el 66.5% de su presupuesto de inversión a la función transporte; los Consejos Departamentales de Desarrollo, el 89.0% se concentró en proyectos de agua y saneamiento el 53.0% y educación el 33.0%; en el caso de los Gobiernos Locales, el 25.9% para la función transporte (73.6% para formación y conservación de capital fijo y 26.5% para proyectos que no forman capital fijo).</w:t>
      </w:r>
    </w:p>
    <w:p w:rsidR="00205E51" w:rsidRPr="00205E51" w:rsidRDefault="00205E51" w:rsidP="00205E51">
      <w:pPr>
        <w:autoSpaceDE w:val="0"/>
        <w:autoSpaceDN w:val="0"/>
        <w:adjustRightInd w:val="0"/>
        <w:spacing w:after="0" w:line="240" w:lineRule="auto"/>
        <w:rPr>
          <w:rFonts w:eastAsia="Times New Roman" w:cs="Times New Roman"/>
          <w:color w:val="000000"/>
          <w:lang w:eastAsia="es-GT"/>
        </w:rPr>
      </w:pPr>
    </w:p>
    <w:p w:rsidR="00205E51" w:rsidRPr="00205E51" w:rsidRDefault="00205E51" w:rsidP="00205E51">
      <w:pPr>
        <w:rPr>
          <w:rFonts w:eastAsia="Times New Roman" w:cs="Times New Roman"/>
          <w:b/>
          <w:lang w:val="es-ES" w:eastAsia="es-ES"/>
        </w:rPr>
      </w:pPr>
      <w:r w:rsidRPr="00205E51">
        <w:rPr>
          <w:rFonts w:eastAsia="Times New Roman" w:cs="Times New Roman"/>
          <w:b/>
          <w:lang w:val="es-ES" w:eastAsia="es-ES"/>
        </w:rPr>
        <w:t>Cooperación Internacional no reembolsable</w:t>
      </w:r>
    </w:p>
    <w:p w:rsidR="00205E51" w:rsidRPr="00205E51" w:rsidRDefault="00205E51" w:rsidP="00205E51">
      <w:pPr>
        <w:rPr>
          <w:rFonts w:eastAsia="Calibri" w:cs="Times New Roman"/>
          <w:lang w:eastAsia="es-GT"/>
        </w:rPr>
      </w:pPr>
      <w:r w:rsidRPr="00205E51">
        <w:rPr>
          <w:rFonts w:eastAsia="Calibri" w:cs="Times New Roman"/>
          <w:lang w:eastAsia="es-GT"/>
        </w:rPr>
        <w:t xml:space="preserve">En esta temática, se contempla la </w:t>
      </w:r>
      <w:r w:rsidRPr="00205E51">
        <w:rPr>
          <w:rFonts w:eastAsia="Calibri" w:cs="Times New Roman"/>
          <w:lang w:val="es-ES"/>
        </w:rPr>
        <w:t xml:space="preserve">distribución y ejecución del presupuesto de donaciones corrientes previstas para el presente ejercicio fiscal. En lo que respecta al avance financiero tanto por parte de instituciones de gobierno central como por entidades descentralizadas, se puede afirmar que ha sido bastante bajo. En lo que se refiere a la calidad del gasto, si bien, algunos programas y/o proyectos coadyuvan al fortalecimiento institucional, y además aportan en temas estratégicos y/o preventivos, presentan el reto de tener un mejor desempeño. </w:t>
      </w:r>
    </w:p>
    <w:p w:rsidR="003702BF" w:rsidRDefault="003702BF" w:rsidP="003702BF">
      <w:pPr>
        <w:rPr>
          <w:lang w:eastAsia="es-GT"/>
        </w:rPr>
      </w:pPr>
    </w:p>
    <w:bookmarkEnd w:id="129"/>
    <w:bookmarkEnd w:id="130"/>
    <w:p w:rsidR="00422EDC" w:rsidRPr="007223FB" w:rsidRDefault="00422EDC" w:rsidP="00422EDC">
      <w:pPr>
        <w:rPr>
          <w:lang w:eastAsia="es-GT"/>
        </w:rPr>
      </w:pPr>
    </w:p>
    <w:p w:rsidR="00A27FB7" w:rsidRPr="007223FB" w:rsidRDefault="00A27FB7" w:rsidP="005D60A0">
      <w:pPr>
        <w:spacing w:before="120" w:after="120" w:line="240" w:lineRule="auto"/>
        <w:rPr>
          <w:rFonts w:cs="Candara"/>
        </w:rPr>
      </w:pPr>
    </w:p>
    <w:p w:rsidR="00F91213" w:rsidRPr="007223FB" w:rsidRDefault="00F91213" w:rsidP="00A27FB7">
      <w:pPr>
        <w:spacing w:before="120" w:after="120" w:line="240" w:lineRule="auto"/>
        <w:ind w:left="5670"/>
        <w:jc w:val="left"/>
        <w:rPr>
          <w:rFonts w:eastAsia="Calibri" w:cs="Times New Roman"/>
        </w:rPr>
      </w:pPr>
    </w:p>
    <w:p w:rsidR="007223FB" w:rsidRPr="007223FB" w:rsidRDefault="00A378C0">
      <w:pPr>
        <w:jc w:val="left"/>
        <w:rPr>
          <w:rFonts w:eastAsia="Calibri" w:cs="Times New Roman"/>
        </w:rPr>
      </w:pPr>
      <w:r w:rsidRPr="007223FB">
        <w:rPr>
          <w:rFonts w:eastAsia="Calibri" w:cs="Times New Roman"/>
        </w:rPr>
        <w:br w:type="page"/>
      </w:r>
    </w:p>
    <w:p w:rsidR="00D644BC" w:rsidRPr="006F723D" w:rsidRDefault="00D644BC" w:rsidP="006F723D">
      <w:pPr>
        <w:pStyle w:val="Ttulo1"/>
        <w:shd w:val="clear" w:color="auto" w:fill="BDD6EE" w:themeFill="accent1" w:themeFillTint="66"/>
        <w:rPr>
          <w:rFonts w:eastAsia="Times New Roman"/>
          <w:i w:val="0"/>
          <w:lang w:val="es-ES" w:eastAsia="es-ES"/>
        </w:rPr>
      </w:pPr>
      <w:bookmarkStart w:id="131" w:name="_Toc19527457"/>
      <w:r w:rsidRPr="006F723D">
        <w:rPr>
          <w:rFonts w:eastAsia="Times New Roman"/>
          <w:i w:val="0"/>
          <w:lang w:val="es-ES" w:eastAsia="es-ES"/>
        </w:rPr>
        <w:lastRenderedPageBreak/>
        <w:t>Siglas y acrónimos</w:t>
      </w:r>
      <w:bookmarkEnd w:id="131"/>
      <w:r w:rsidRPr="006F723D">
        <w:rPr>
          <w:rFonts w:eastAsia="Times New Roman"/>
          <w:i w:val="0"/>
          <w:lang w:val="es-ES" w:eastAsia="es-ES"/>
        </w:rPr>
        <w:t xml:space="preserve"> </w:t>
      </w:r>
    </w:p>
    <w:p w:rsidR="00D644BC" w:rsidRPr="007223FB" w:rsidRDefault="00D644BC" w:rsidP="00D644BC">
      <w:pPr>
        <w:spacing w:after="0" w:line="240" w:lineRule="auto"/>
        <w:rPr>
          <w:rFonts w:eastAsia="Times New Roman" w:cs="Times New Roman"/>
          <w:bCs/>
          <w:lang w:val="en-US" w:eastAsia="es-ES"/>
        </w:rPr>
      </w:pPr>
    </w:p>
    <w:tbl>
      <w:tblPr>
        <w:tblStyle w:val="Tabladecuadrcula5oscura-nfasis12"/>
        <w:tblW w:w="5000" w:type="pct"/>
        <w:tblLook w:val="04A0" w:firstRow="1" w:lastRow="0" w:firstColumn="1" w:lastColumn="0" w:noHBand="0" w:noVBand="1"/>
      </w:tblPr>
      <w:tblGrid>
        <w:gridCol w:w="2027"/>
        <w:gridCol w:w="7403"/>
      </w:tblGrid>
      <w:tr w:rsidR="00274706" w:rsidRPr="007223FB" w:rsidTr="00A47E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jc w:val="center"/>
              <w:rPr>
                <w:rFonts w:cs="Calibri"/>
                <w:color w:val="000000"/>
              </w:rPr>
            </w:pPr>
            <w:r w:rsidRPr="007223FB">
              <w:rPr>
                <w:rFonts w:cs="Calibri"/>
                <w:bCs w:val="0"/>
                <w:color w:val="000000"/>
              </w:rPr>
              <w:t>Sigla/Acrónimo</w:t>
            </w:r>
          </w:p>
        </w:tc>
        <w:tc>
          <w:tcPr>
            <w:tcW w:w="3925" w:type="pct"/>
          </w:tcPr>
          <w:p w:rsidR="00274706" w:rsidRPr="007223FB" w:rsidRDefault="00274706" w:rsidP="00274706">
            <w:pPr>
              <w:jc w:val="center"/>
              <w:cnfStyle w:val="100000000000" w:firstRow="1"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Descripción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AECID</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Agencia Española de Cooperación Internacional para el Desarrollo</w:t>
            </w:r>
          </w:p>
        </w:tc>
      </w:tr>
      <w:tr w:rsidR="00274706" w:rsidRPr="007223FB" w:rsidTr="00274706">
        <w:trPr>
          <w:trHeight w:val="292"/>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Adesca</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Aporte para la Descentralización Cultural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ALMG</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Academia de Lenguas Mayas de Guatemala</w:t>
            </w:r>
          </w:p>
        </w:tc>
      </w:tr>
      <w:tr w:rsidR="00274706" w:rsidRPr="007223FB" w:rsidTr="00274706">
        <w:trPr>
          <w:trHeight w:val="266"/>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AMSA</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Autoridad para el Manejo Sustentable de la Cuenca y del Lago de Amatitlán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AMSCLAE</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Autoridad para el Manejo Sustentable de la Cuenca del Lago de Atitlán y su Entorno</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ANADIE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Agencia Nacional de Alianzas para el Desarrollo de Infraestructura Económica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BCIE</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Banco Centroamericano de Integración económica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BID</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Banco Interamericano de Desarrollo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BIRF</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Banco Internacional de Reconstrucción y Fomento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Corte de Constitucionalidad</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CDAG</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Confederación Deportiva Autónoma de Guatemala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CES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Consejo Económico y Social de Guatemala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CGC</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Contraloría General de Cuentas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CHN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Crédito Hipotecario Nacional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CINR</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Cooperación Internacional no Reembolsable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CNA</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Consejo Nacional de Adopciones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bCs w:val="0"/>
                <w:color w:val="000000"/>
              </w:rPr>
            </w:pPr>
            <w:r w:rsidRPr="007223FB">
              <w:rPr>
                <w:rFonts w:cs="Calibri"/>
                <w:bCs w:val="0"/>
                <w:color w:val="000000"/>
              </w:rPr>
              <w:t>CNEE</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bCs/>
                <w:color w:val="000000"/>
              </w:rPr>
            </w:pPr>
            <w:r w:rsidRPr="007223FB">
              <w:rPr>
                <w:rFonts w:cs="Calibri"/>
                <w:bCs/>
                <w:color w:val="000000"/>
              </w:rPr>
              <w:t xml:space="preserve">Comisión Nacional de Energía Eléctrica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CNPAG</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Consejo Nacional para la Protección de la Antigua Guatemala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Cocahich</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Coordinadora de Comunidades Afectadas por la Hidroeléctrica Chixoy</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Codisra</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Comisión Presidencial contra la Discriminación y el Racismo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COG</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Comité Olímpico Guatemalteco</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Conader</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Consejo Nacional del Deporte, Educación Física y la Recreación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Conadi</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Consejo Nacional para la Atención de las Personas con Discapacidad</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Conalfa</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Comité Nacional de Alfabetización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Conap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Consejo Nacional de Áreas Protegidas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Conasan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Consejo Nacional de Seguridad Alimentaria y Nutricional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Concyt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Consejo Nacional de Ciencia y Tecnología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Conjuve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Consejo Nacional de la Juventud</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Coperex</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Comité Permanente de Exposiciones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Copredeh</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Comisión Presidencial Coordinadora de la Política del Ejecutivo en Materia de Derechos Humanos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Covial</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Conservación Vial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bCs w:val="0"/>
                <w:color w:val="000000"/>
              </w:rPr>
            </w:pPr>
            <w:r w:rsidRPr="007223FB">
              <w:rPr>
                <w:rFonts w:cs="Calibri"/>
                <w:bCs w:val="0"/>
                <w:color w:val="000000"/>
              </w:rPr>
              <w:t>CVB</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bCs/>
                <w:color w:val="000000"/>
              </w:rPr>
            </w:pPr>
            <w:r w:rsidRPr="007223FB">
              <w:rPr>
                <w:rFonts w:cs="Calibri"/>
                <w:bCs/>
                <w:color w:val="000000"/>
              </w:rPr>
              <w:t xml:space="preserve">Benemérito Cuerpo Voluntario de Bomberos de Guatemala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Demi</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Defensoría de la Mujer Indígena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DGAC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Dirección General De Aeronáutica Civil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DGC </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Dirección General de Caminos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DGCT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Dirección General De Correos y Telégrafos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DGT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Dirección General De Transportes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Empornac </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Empresa Portuaria Santo Tomas de Castilla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ENCA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Escuela Nacional Central de Agricultura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EPNCH</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Empresa Portuaria Nacional de Champerico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EPQ </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Empresa Portuaria Quetzal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FADN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Federaciones y Asociaciones Deportivas Nacionales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lastRenderedPageBreak/>
              <w:t>FIDA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Fondo Internacional de Desarrollo Agrícola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FM</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Fondo Mundial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Fodecyt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Fondo para el Desarrollo Científico y Tecnológico</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Fodes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Fondo de Desarrollo Social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Fodigua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Fondo de Desarrollo Indígena Guatemalteco</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Fointec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Fondo de Innovación Tecnológica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Fonacón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Fondo Nacional para la Naturaleza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Fondetel</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Fondo Para El Desarrollo De La Telefonía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Fontierras</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Fondo de Tierras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Fopavi</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Fondo Para La Vivienda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FSS</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Fondo Social de Solidaridad</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GP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Guardia Presidencial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ICTA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de Ciencia y Tecnología Agrícola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IDPP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Instituto de la Defensa Pública Penal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A91ED0">
            <w:pPr>
              <w:ind w:left="708" w:hanging="708"/>
              <w:rPr>
                <w:rFonts w:cs="Calibri"/>
                <w:color w:val="000000"/>
              </w:rPr>
            </w:pPr>
            <w:r w:rsidRPr="007223FB">
              <w:rPr>
                <w:rFonts w:cs="Calibri"/>
                <w:bCs w:val="0"/>
                <w:color w:val="000000"/>
              </w:rPr>
              <w:t>IGSS</w:t>
            </w:r>
          </w:p>
        </w:tc>
        <w:tc>
          <w:tcPr>
            <w:tcW w:w="3925" w:type="pct"/>
          </w:tcPr>
          <w:p w:rsidR="00274706" w:rsidRPr="007223FB" w:rsidRDefault="00274706" w:rsidP="00A91ED0">
            <w:pPr>
              <w:ind w:left="708" w:hanging="708"/>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Guatemalteco de Seguridad Social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Inab</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Instituto Nacional de Bosques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Inacif</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Nacional de Ciencias Forenses de Guatemala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Inacop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Instituto Nacional de Cooperativas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INAP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Nacional de Administración Pública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INDE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Instituto Nacional de Electrificación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Indeca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Instituto Nacional de Comercialización Agrícola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Instituto Nacional de Estadística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Infom</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de Fomento Municipal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Ingecop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Inspección General de Cooperativas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Inguat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Instituto Guatemalteco de Turismo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Insan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Inseguridad Alimentaria y Nutricional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Intecap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Instituto Técnico de Capacitación y Productividad</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IPM</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Instituto de Previsión Militar</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JICA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Agencia de Cooperación Internacional del Japón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KFW</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Kreditanstalf für Wiederaufbau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MAGA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Agricultura, Ganadería y Alimentación</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MARN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Ministerio de Ambiente y Recursos Naturales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MCIV </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Comunicación Infraestructura y Vivienda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MEM</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Ministerio de Energía y Minas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Mides</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Desarrollo Social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Mindef</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Ministerio de la Defensa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Mineco</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Economía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Mineduc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Ministerio de Educación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Minfin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Finanzas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Mingob</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Ministerio de Gobernación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Mintrab</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Ministerio de Trabajo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Ministerio Público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MSPAS</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Ministerio de Salud Pública y Asistencia Social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MULTICYT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Fondo Múltiple de Apoyo al Plan Nacional de Ciencia y Tecnología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Mypimes </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Micro, Pequeña y Mediana Empresa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OJ</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Organismo Judicial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lastRenderedPageBreak/>
              <w:t>Onsec</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Oficina Nacional del Servicio Civil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PAFFEC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Plan de Agricultura Familiar para el Fortalecimiento de la Economía Campesina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PDH</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Procuraduría de los Derechos Humanos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PDM</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Plan de Desarrollo Municipal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PDPCRBM</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Programa de Desarrollo de Petén para la Conservación de la Reserva de la Biosfera Maya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PEC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Programa de Extensión de Cobertura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PGN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Procuraduría General de la Nación</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PII</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Plan de Inversiones del Instituto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PMA </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Programa Mundial de Alimentos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 xml:space="preserve">Proeduc </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Programa de Educación Rural en Guatemala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Provial</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Dirección General De Protección y Seguridad Vial-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color w:val="000000"/>
              </w:rPr>
              <w:t>RE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Resultado Estratégico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Renap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Registro Nacional de las Personas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RGP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Registro General de la Propiedad</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RI</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Resultado Institucional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RIC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Registro de Información Catastral</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SAA</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Asuntos Agrarios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SAAS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de Asuntos Administrativos y de Seguridad</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SAT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Superintendencia de Administración Tributaria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SBS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de Bienestar Social de la Presidencia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SCEP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Coordinación Ejecutiva de la Presidencia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SCSP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de Comunicación Social  de la Presidencia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Seccatid</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Ejecutiva Comisión Contra las Adicciones y el Tráfico Ilícito de Drogas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C6796" w:rsidP="00274706">
            <w:pPr>
              <w:rPr>
                <w:rFonts w:cs="Calibri"/>
                <w:color w:val="000000"/>
              </w:rPr>
            </w:pPr>
            <w:r w:rsidRPr="007223FB">
              <w:rPr>
                <w:rFonts w:cs="Calibri"/>
                <w:bCs w:val="0"/>
                <w:color w:val="000000"/>
              </w:rPr>
              <w:t>SEGEPLAN</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de Planificación y Programación de la Presidencia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SEICMSJ</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Ejecutiva de la Instancia Coordinadora de la Modernización del Sector Justicia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Sejust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Seguridad y Justicia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Senabed</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Nacional De Administración De Bienes En Extinción De Dominio</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Senacyt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Nacional de Ciencia y Tecnología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Sepaz</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la Paz</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Seprem</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Presidencial de la Mujer</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Sesan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Seguridad Alimentaria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SGP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General de la Presidencia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color w:val="000000"/>
              </w:rPr>
              <w:t>Sicoin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Sistema de Contabilidad Integrado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Sicoindes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Sistema de Contabilidad Integrado Descentralizado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SIE</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Inteligencia Estratégica</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Sigap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Sistema Guatemalteco de Áreas Protegidas</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Sinasan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Sistema Nacional de Seguridad Alimentaria y Nutricional</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Sincyt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Sistema Nacional de Ciencia y Tecnología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color w:val="000000"/>
              </w:rPr>
              <w:t>Siplan</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Sistema de Planes Institucionales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Siscode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Sistema de Consejos de Desarrollo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SIT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Superintendencia de Telecomunicaciones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SNIP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Sistema Nacional de Inversión Pública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lastRenderedPageBreak/>
              <w:t>SOSEP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de Obras Sociales de la Esposa del Presidente</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SPP</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Privada de la Presidencia</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SRP</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Segundo Registro de la Propiedad</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STCNS</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Secretaría Técnica del Consejo Nacional de Seguridad</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SVET</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Secretaría Contra la Violencia Sexual, Explotación y Trata de Personas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TGW</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Dirección de Radio y Televisión</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color w:val="000000"/>
              </w:rPr>
              <w:t>Tm</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Toneladas métricas</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UCEE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Unidad de Construcción de Edificios del Estado</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Udevipo</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Unidad de Vivienda Popular</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UE</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Unión Europea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Uncosu</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 xml:space="preserve">Unidad de Control y Supervisión De Cable </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USAC</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Universidad de San Carlos de Guatemala </w:t>
            </w:r>
          </w:p>
        </w:tc>
      </w:tr>
      <w:tr w:rsidR="00274706" w:rsidRPr="007223FB" w:rsidTr="002747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VCM</w:t>
            </w:r>
          </w:p>
        </w:tc>
        <w:tc>
          <w:tcPr>
            <w:tcW w:w="3925" w:type="pct"/>
          </w:tcPr>
          <w:p w:rsidR="00274706" w:rsidRPr="007223FB" w:rsidRDefault="00274706" w:rsidP="00274706">
            <w:pPr>
              <w:cnfStyle w:val="000000100000" w:firstRow="0" w:lastRow="0" w:firstColumn="0" w:lastColumn="0" w:oddVBand="0" w:evenVBand="0" w:oddHBand="1" w:evenHBand="0" w:firstRowFirstColumn="0" w:firstRowLastColumn="0" w:lastRowFirstColumn="0" w:lastRowLastColumn="0"/>
              <w:rPr>
                <w:rFonts w:cs="Calibri"/>
                <w:color w:val="000000"/>
              </w:rPr>
            </w:pPr>
            <w:r w:rsidRPr="007223FB">
              <w:rPr>
                <w:rFonts w:cs="Calibri"/>
                <w:color w:val="000000"/>
              </w:rPr>
              <w:t>Violencia Contra la Mujer</w:t>
            </w:r>
          </w:p>
        </w:tc>
      </w:tr>
      <w:tr w:rsidR="00274706" w:rsidRPr="007223FB" w:rsidTr="00274706">
        <w:tc>
          <w:tcPr>
            <w:cnfStyle w:val="001000000000" w:firstRow="0" w:lastRow="0" w:firstColumn="1" w:lastColumn="0" w:oddVBand="0" w:evenVBand="0" w:oddHBand="0" w:evenHBand="0" w:firstRowFirstColumn="0" w:firstRowLastColumn="0" w:lastRowFirstColumn="0" w:lastRowLastColumn="0"/>
            <w:tcW w:w="1075" w:type="pct"/>
          </w:tcPr>
          <w:p w:rsidR="00274706" w:rsidRPr="007223FB" w:rsidRDefault="00274706" w:rsidP="00274706">
            <w:pPr>
              <w:rPr>
                <w:rFonts w:cs="Calibri"/>
                <w:color w:val="000000"/>
              </w:rPr>
            </w:pPr>
            <w:r w:rsidRPr="007223FB">
              <w:rPr>
                <w:rFonts w:cs="Calibri"/>
                <w:bCs w:val="0"/>
                <w:color w:val="000000"/>
              </w:rPr>
              <w:t>VET</w:t>
            </w:r>
          </w:p>
        </w:tc>
        <w:tc>
          <w:tcPr>
            <w:tcW w:w="3925" w:type="pct"/>
          </w:tcPr>
          <w:p w:rsidR="00274706" w:rsidRPr="007223FB" w:rsidRDefault="00274706" w:rsidP="00274706">
            <w:pPr>
              <w:cnfStyle w:val="000000000000" w:firstRow="0" w:lastRow="0" w:firstColumn="0" w:lastColumn="0" w:oddVBand="0" w:evenVBand="0" w:oddHBand="0" w:evenHBand="0" w:firstRowFirstColumn="0" w:firstRowLastColumn="0" w:lastRowFirstColumn="0" w:lastRowLastColumn="0"/>
              <w:rPr>
                <w:rFonts w:cs="Calibri"/>
                <w:color w:val="000000"/>
              </w:rPr>
            </w:pPr>
            <w:r w:rsidRPr="007223FB">
              <w:rPr>
                <w:rFonts w:cs="Calibri"/>
                <w:color w:val="000000"/>
              </w:rPr>
              <w:t xml:space="preserve">Violencia Sexual, Explotación y Trata de Personas </w:t>
            </w:r>
          </w:p>
        </w:tc>
      </w:tr>
    </w:tbl>
    <w:p w:rsidR="006A5968" w:rsidRPr="007223FB" w:rsidRDefault="006A5968" w:rsidP="00D644BC">
      <w:pPr>
        <w:spacing w:after="0" w:line="240" w:lineRule="auto"/>
        <w:rPr>
          <w:noProof/>
          <w:lang w:eastAsia="es-GT"/>
        </w:rPr>
      </w:pPr>
    </w:p>
    <w:p w:rsidR="0055746D" w:rsidRPr="007223FB" w:rsidRDefault="006A5968" w:rsidP="006A5968">
      <w:pPr>
        <w:jc w:val="left"/>
        <w:rPr>
          <w:noProof/>
          <w:lang w:eastAsia="es-GT"/>
        </w:rPr>
      </w:pPr>
      <w:r w:rsidRPr="007223FB">
        <w:rPr>
          <w:noProof/>
          <w:lang w:eastAsia="es-GT"/>
        </w:rPr>
        <w:br w:type="page"/>
      </w:r>
      <w:r w:rsidRPr="007223FB">
        <w:rPr>
          <w:noProof/>
          <w:lang w:eastAsia="es-GT"/>
        </w:rPr>
        <w:lastRenderedPageBreak/>
        <w:drawing>
          <wp:anchor distT="0" distB="0" distL="114300" distR="114300" simplePos="0" relativeHeight="251725824" behindDoc="0" locked="0" layoutInCell="1" allowOverlap="1" wp14:anchorId="5CADFEB1" wp14:editId="1A10B1C2">
            <wp:simplePos x="0" y="0"/>
            <wp:positionH relativeFrom="column">
              <wp:posOffset>-1013460</wp:posOffset>
            </wp:positionH>
            <wp:positionV relativeFrom="paragraph">
              <wp:posOffset>-781685</wp:posOffset>
            </wp:positionV>
            <wp:extent cx="7620000" cy="99904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8182C.tmp"/>
                    <pic:cNvPicPr/>
                  </pic:nvPicPr>
                  <pic:blipFill>
                    <a:blip r:embed="rId32">
                      <a:extLst>
                        <a:ext uri="{28A0092B-C50C-407E-A947-70E740481C1C}">
                          <a14:useLocalDpi xmlns:a14="http://schemas.microsoft.com/office/drawing/2010/main" val="0"/>
                        </a:ext>
                      </a:extLst>
                    </a:blip>
                    <a:stretch>
                      <a:fillRect/>
                    </a:stretch>
                  </pic:blipFill>
                  <pic:spPr>
                    <a:xfrm>
                      <a:off x="0" y="0"/>
                      <a:ext cx="7663403" cy="10047360"/>
                    </a:xfrm>
                    <a:prstGeom prst="rect">
                      <a:avLst/>
                    </a:prstGeom>
                  </pic:spPr>
                </pic:pic>
              </a:graphicData>
            </a:graphic>
            <wp14:sizeRelH relativeFrom="margin">
              <wp14:pctWidth>0</wp14:pctWidth>
            </wp14:sizeRelH>
            <wp14:sizeRelV relativeFrom="margin">
              <wp14:pctHeight>0</wp14:pctHeight>
            </wp14:sizeRelV>
          </wp:anchor>
        </w:drawing>
      </w:r>
      <w:r w:rsidR="00205E51">
        <w:rPr>
          <w:noProof/>
          <w:lang w:eastAsia="es-GT"/>
        </w:rPr>
        <w:t>P</w:t>
      </w:r>
    </w:p>
    <w:sectPr w:rsidR="0055746D" w:rsidRPr="007223FB" w:rsidSect="00E73EEB">
      <w:pgSz w:w="12240" w:h="15840"/>
      <w:pgMar w:top="1276" w:right="1325"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D43" w:rsidRDefault="00E94D43" w:rsidP="00E11CA6">
      <w:pPr>
        <w:spacing w:after="0" w:line="240" w:lineRule="auto"/>
      </w:pPr>
      <w:r>
        <w:separator/>
      </w:r>
    </w:p>
  </w:endnote>
  <w:endnote w:type="continuationSeparator" w:id="0">
    <w:p w:rsidR="00E94D43" w:rsidRDefault="00E94D43" w:rsidP="00E1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ndar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Ale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571870"/>
      <w:docPartObj>
        <w:docPartGallery w:val="Page Numbers (Bottom of Page)"/>
        <w:docPartUnique/>
      </w:docPartObj>
    </w:sdtPr>
    <w:sdtEndPr/>
    <w:sdtContent>
      <w:p w:rsidR="003230FB" w:rsidRDefault="003230FB">
        <w:pPr>
          <w:pStyle w:val="Piedepgina"/>
          <w:jc w:val="right"/>
        </w:pPr>
        <w:r>
          <w:fldChar w:fldCharType="begin"/>
        </w:r>
        <w:r>
          <w:instrText>PAGE   \* MERGEFORMAT</w:instrText>
        </w:r>
        <w:r>
          <w:fldChar w:fldCharType="separate"/>
        </w:r>
        <w:r w:rsidR="004D45C2" w:rsidRPr="004D45C2">
          <w:rPr>
            <w:noProof/>
            <w:lang w:val="es-ES"/>
          </w:rPr>
          <w:t>102</w:t>
        </w:r>
        <w:r>
          <w:fldChar w:fldCharType="end"/>
        </w:r>
      </w:p>
    </w:sdtContent>
  </w:sdt>
  <w:p w:rsidR="003230FB" w:rsidRDefault="003230F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D43" w:rsidRDefault="00E94D43" w:rsidP="00E11CA6">
      <w:pPr>
        <w:spacing w:after="0" w:line="240" w:lineRule="auto"/>
      </w:pPr>
      <w:r>
        <w:separator/>
      </w:r>
    </w:p>
  </w:footnote>
  <w:footnote w:type="continuationSeparator" w:id="0">
    <w:p w:rsidR="00E94D43" w:rsidRDefault="00E94D43" w:rsidP="00E11CA6">
      <w:pPr>
        <w:spacing w:after="0" w:line="240" w:lineRule="auto"/>
      </w:pPr>
      <w:r>
        <w:continuationSeparator/>
      </w:r>
    </w:p>
  </w:footnote>
  <w:footnote w:id="1">
    <w:p w:rsidR="003230FB" w:rsidRDefault="003230FB">
      <w:pPr>
        <w:pStyle w:val="Textonotapie"/>
      </w:pPr>
      <w:r>
        <w:rPr>
          <w:rStyle w:val="Refdenotaalpie"/>
        </w:rPr>
        <w:footnoteRef/>
      </w:r>
      <w:r>
        <w:t xml:space="preserve"> </w:t>
      </w:r>
      <w:r w:rsidRPr="007223FB">
        <w:rPr>
          <w:rFonts w:eastAsia="Candara" w:cs="Candara"/>
        </w:rPr>
        <w:t>C</w:t>
      </w:r>
      <w:r w:rsidRPr="007223FB">
        <w:rPr>
          <w:rFonts w:eastAsia="Candara" w:cs="Candara"/>
          <w:spacing w:val="1"/>
        </w:rPr>
        <w:t>on</w:t>
      </w:r>
      <w:r w:rsidRPr="007223FB">
        <w:rPr>
          <w:rFonts w:eastAsia="Candara" w:cs="Candara"/>
          <w:spacing w:val="-1"/>
        </w:rPr>
        <w:t>s</w:t>
      </w:r>
      <w:r w:rsidRPr="007223FB">
        <w:rPr>
          <w:rFonts w:eastAsia="Candara" w:cs="Candara"/>
        </w:rPr>
        <w:t>ult</w:t>
      </w:r>
      <w:r w:rsidRPr="007223FB">
        <w:rPr>
          <w:rFonts w:eastAsia="Candara" w:cs="Candara"/>
          <w:spacing w:val="1"/>
        </w:rPr>
        <w:t>a</w:t>
      </w:r>
      <w:r w:rsidRPr="007223FB">
        <w:rPr>
          <w:rFonts w:eastAsia="Candara" w:cs="Candara"/>
          <w:spacing w:val="-1"/>
        </w:rPr>
        <w:t>d</w:t>
      </w:r>
      <w:r w:rsidRPr="007223FB">
        <w:rPr>
          <w:rFonts w:eastAsia="Candara" w:cs="Candara"/>
        </w:rPr>
        <w:t>o</w:t>
      </w:r>
      <w:r w:rsidRPr="007223FB">
        <w:rPr>
          <w:rFonts w:eastAsia="Candara" w:cs="Candara"/>
          <w:spacing w:val="-9"/>
        </w:rPr>
        <w:t xml:space="preserve"> </w:t>
      </w:r>
      <w:r w:rsidRPr="007223FB">
        <w:rPr>
          <w:rFonts w:eastAsia="Candara" w:cs="Candara"/>
          <w:spacing w:val="-1"/>
        </w:rPr>
        <w:t>e</w:t>
      </w:r>
      <w:r w:rsidRPr="007223FB">
        <w:rPr>
          <w:rFonts w:eastAsia="Candara" w:cs="Candara"/>
        </w:rPr>
        <w:t>n</w:t>
      </w:r>
      <w:r w:rsidRPr="007223FB">
        <w:rPr>
          <w:rFonts w:eastAsia="Candara" w:cs="Candara"/>
          <w:spacing w:val="-2"/>
        </w:rPr>
        <w:t xml:space="preserve"> </w:t>
      </w:r>
      <w:hyperlink r:id="rId1" w:anchor="ixzz3Pg6px2V8">
        <w:r w:rsidRPr="007223FB">
          <w:rPr>
            <w:rFonts w:eastAsia="Candara" w:cs="Candara"/>
            <w:color w:val="0562C1"/>
            <w:spacing w:val="1"/>
            <w:w w:val="99"/>
            <w:u w:val="single" w:color="0562C1"/>
          </w:rPr>
          <w:t>h</w:t>
        </w:r>
        <w:r w:rsidRPr="007223FB">
          <w:rPr>
            <w:rFonts w:eastAsia="Candara" w:cs="Candara"/>
            <w:color w:val="0562C1"/>
            <w:w w:val="99"/>
            <w:u w:val="single" w:color="0562C1"/>
          </w:rPr>
          <w:t>tt</w:t>
        </w:r>
        <w:r w:rsidRPr="007223FB">
          <w:rPr>
            <w:rFonts w:eastAsia="Candara" w:cs="Candara"/>
            <w:color w:val="0562C1"/>
            <w:spacing w:val="1"/>
            <w:w w:val="99"/>
            <w:u w:val="single" w:color="0562C1"/>
          </w:rPr>
          <w:t>p</w:t>
        </w:r>
        <w:r w:rsidRPr="007223FB">
          <w:rPr>
            <w:rFonts w:eastAsia="Candara" w:cs="Candara"/>
            <w:color w:val="0562C1"/>
            <w:w w:val="99"/>
            <w:u w:val="single" w:color="0562C1"/>
          </w:rPr>
          <w:t>://d</w:t>
        </w:r>
        <w:r w:rsidRPr="007223FB">
          <w:rPr>
            <w:rFonts w:eastAsia="Candara" w:cs="Candara"/>
            <w:color w:val="0562C1"/>
            <w:spacing w:val="1"/>
            <w:w w:val="99"/>
            <w:u w:val="single" w:color="0562C1"/>
          </w:rPr>
          <w:t>e</w:t>
        </w:r>
        <w:r w:rsidRPr="007223FB">
          <w:rPr>
            <w:rFonts w:eastAsia="Candara" w:cs="Candara"/>
            <w:color w:val="0562C1"/>
            <w:spacing w:val="-1"/>
            <w:w w:val="99"/>
            <w:u w:val="single" w:color="0562C1"/>
          </w:rPr>
          <w:t>fi</w:t>
        </w:r>
        <w:r w:rsidRPr="007223FB">
          <w:rPr>
            <w:rFonts w:eastAsia="Candara" w:cs="Candara"/>
            <w:color w:val="0562C1"/>
            <w:spacing w:val="1"/>
            <w:w w:val="99"/>
            <w:u w:val="single" w:color="0562C1"/>
          </w:rPr>
          <w:t>n</w:t>
        </w:r>
        <w:r w:rsidRPr="007223FB">
          <w:rPr>
            <w:rFonts w:eastAsia="Candara" w:cs="Candara"/>
            <w:color w:val="0562C1"/>
            <w:spacing w:val="-1"/>
            <w:w w:val="99"/>
            <w:u w:val="single" w:color="0562C1"/>
          </w:rPr>
          <w:t>i</w:t>
        </w:r>
        <w:r w:rsidRPr="007223FB">
          <w:rPr>
            <w:rFonts w:eastAsia="Candara" w:cs="Candara"/>
            <w:color w:val="0562C1"/>
            <w:w w:val="99"/>
            <w:u w:val="single" w:color="0562C1"/>
          </w:rPr>
          <w:t>c</w:t>
        </w:r>
        <w:r w:rsidRPr="007223FB">
          <w:rPr>
            <w:rFonts w:eastAsia="Candara" w:cs="Candara"/>
            <w:color w:val="0562C1"/>
            <w:spacing w:val="-1"/>
            <w:w w:val="99"/>
            <w:u w:val="single" w:color="0562C1"/>
          </w:rPr>
          <w:t>i</w:t>
        </w:r>
        <w:r w:rsidRPr="007223FB">
          <w:rPr>
            <w:rFonts w:eastAsia="Candara" w:cs="Candara"/>
            <w:color w:val="0562C1"/>
            <w:w w:val="99"/>
            <w:u w:val="single" w:color="0562C1"/>
          </w:rPr>
          <w:t>o</w:t>
        </w:r>
        <w:r w:rsidRPr="007223FB">
          <w:rPr>
            <w:rFonts w:eastAsia="Candara" w:cs="Candara"/>
            <w:color w:val="0562C1"/>
            <w:spacing w:val="1"/>
            <w:w w:val="99"/>
            <w:u w:val="single" w:color="0562C1"/>
          </w:rPr>
          <w:t>n</w:t>
        </w:r>
        <w:r w:rsidRPr="007223FB">
          <w:rPr>
            <w:rFonts w:eastAsia="Candara" w:cs="Candara"/>
            <w:color w:val="0562C1"/>
            <w:w w:val="99"/>
            <w:u w:val="single" w:color="0562C1"/>
          </w:rPr>
          <w:t>.d</w:t>
        </w:r>
        <w:r w:rsidRPr="007223FB">
          <w:rPr>
            <w:rFonts w:eastAsia="Candara" w:cs="Candara"/>
            <w:color w:val="0562C1"/>
            <w:spacing w:val="-1"/>
            <w:w w:val="99"/>
            <w:u w:val="single" w:color="0562C1"/>
          </w:rPr>
          <w:t>e</w:t>
        </w:r>
        <w:r w:rsidRPr="007223FB">
          <w:rPr>
            <w:rFonts w:eastAsia="Candara" w:cs="Candara"/>
            <w:color w:val="0562C1"/>
            <w:w w:val="99"/>
            <w:u w:val="single" w:color="0562C1"/>
          </w:rPr>
          <w:t>/</w:t>
        </w:r>
        <w:r w:rsidRPr="007223FB">
          <w:rPr>
            <w:rFonts w:eastAsia="Candara" w:cs="Candara"/>
            <w:color w:val="0562C1"/>
            <w:spacing w:val="1"/>
            <w:w w:val="99"/>
            <w:u w:val="single" w:color="0562C1"/>
          </w:rPr>
          <w:t>pr</w:t>
        </w:r>
        <w:r w:rsidRPr="007223FB">
          <w:rPr>
            <w:rFonts w:eastAsia="Candara" w:cs="Candara"/>
            <w:color w:val="0562C1"/>
            <w:spacing w:val="-1"/>
            <w:w w:val="99"/>
            <w:u w:val="single" w:color="0562C1"/>
          </w:rPr>
          <w:t>i</w:t>
        </w:r>
        <w:r w:rsidRPr="007223FB">
          <w:rPr>
            <w:rFonts w:eastAsia="Candara" w:cs="Candara"/>
            <w:color w:val="0562C1"/>
            <w:spacing w:val="1"/>
            <w:w w:val="99"/>
            <w:u w:val="single" w:color="0562C1"/>
          </w:rPr>
          <w:t>n</w:t>
        </w:r>
        <w:r w:rsidRPr="007223FB">
          <w:rPr>
            <w:rFonts w:eastAsia="Candara" w:cs="Candara"/>
            <w:color w:val="0562C1"/>
            <w:w w:val="99"/>
            <w:u w:val="single" w:color="0562C1"/>
          </w:rPr>
          <w:t>c</w:t>
        </w:r>
        <w:r w:rsidRPr="007223FB">
          <w:rPr>
            <w:rFonts w:eastAsia="Candara" w:cs="Candara"/>
            <w:color w:val="0562C1"/>
            <w:spacing w:val="-1"/>
            <w:w w:val="99"/>
            <w:u w:val="single" w:color="0562C1"/>
          </w:rPr>
          <w:t>i</w:t>
        </w:r>
        <w:r w:rsidRPr="007223FB">
          <w:rPr>
            <w:rFonts w:eastAsia="Candara" w:cs="Candara"/>
            <w:color w:val="0562C1"/>
            <w:spacing w:val="1"/>
            <w:w w:val="99"/>
            <w:u w:val="single" w:color="0562C1"/>
          </w:rPr>
          <w:t>p</w:t>
        </w:r>
        <w:r w:rsidRPr="007223FB">
          <w:rPr>
            <w:rFonts w:eastAsia="Candara" w:cs="Candara"/>
            <w:color w:val="0562C1"/>
            <w:spacing w:val="-1"/>
            <w:w w:val="99"/>
            <w:u w:val="single" w:color="0562C1"/>
          </w:rPr>
          <w:t>i</w:t>
        </w:r>
        <w:r w:rsidRPr="007223FB">
          <w:rPr>
            <w:rFonts w:eastAsia="Candara" w:cs="Candara"/>
            <w:color w:val="0562C1"/>
            <w:w w:val="99"/>
            <w:u w:val="single" w:color="0562C1"/>
          </w:rPr>
          <w:t>o-d</w:t>
        </w:r>
        <w:r w:rsidRPr="007223FB">
          <w:rPr>
            <w:rFonts w:eastAsia="Candara" w:cs="Candara"/>
            <w:color w:val="0562C1"/>
            <w:spacing w:val="-1"/>
            <w:w w:val="99"/>
            <w:u w:val="single" w:color="0562C1"/>
          </w:rPr>
          <w:t>e</w:t>
        </w:r>
        <w:r w:rsidRPr="007223FB">
          <w:rPr>
            <w:rFonts w:eastAsia="Candara" w:cs="Candara"/>
            <w:color w:val="0562C1"/>
            <w:w w:val="99"/>
            <w:u w:val="single" w:color="0562C1"/>
          </w:rPr>
          <w:t>-l</w:t>
        </w:r>
        <w:r w:rsidRPr="007223FB">
          <w:rPr>
            <w:rFonts w:eastAsia="Candara" w:cs="Candara"/>
            <w:color w:val="0562C1"/>
            <w:spacing w:val="1"/>
            <w:w w:val="99"/>
            <w:u w:val="single" w:color="0562C1"/>
          </w:rPr>
          <w:t>e</w:t>
        </w:r>
        <w:r w:rsidRPr="007223FB">
          <w:rPr>
            <w:rFonts w:eastAsia="Candara" w:cs="Candara"/>
            <w:color w:val="0562C1"/>
            <w:spacing w:val="-1"/>
            <w:w w:val="99"/>
            <w:u w:val="single" w:color="0562C1"/>
          </w:rPr>
          <w:t>g</w:t>
        </w:r>
        <w:r w:rsidRPr="007223FB">
          <w:rPr>
            <w:rFonts w:eastAsia="Candara" w:cs="Candara"/>
            <w:color w:val="0562C1"/>
            <w:spacing w:val="1"/>
            <w:w w:val="99"/>
            <w:u w:val="single" w:color="0562C1"/>
          </w:rPr>
          <w:t>a</w:t>
        </w:r>
        <w:r w:rsidRPr="007223FB">
          <w:rPr>
            <w:rFonts w:eastAsia="Candara" w:cs="Candara"/>
            <w:color w:val="0562C1"/>
            <w:w w:val="99"/>
            <w:u w:val="single" w:color="0562C1"/>
          </w:rPr>
          <w:t>l</w:t>
        </w:r>
        <w:r w:rsidRPr="007223FB">
          <w:rPr>
            <w:rFonts w:eastAsia="Candara" w:cs="Candara"/>
            <w:color w:val="0562C1"/>
            <w:spacing w:val="-1"/>
            <w:w w:val="99"/>
            <w:u w:val="single" w:color="0562C1"/>
          </w:rPr>
          <w:t>i</w:t>
        </w:r>
        <w:r w:rsidRPr="007223FB">
          <w:rPr>
            <w:rFonts w:eastAsia="Candara" w:cs="Candara"/>
            <w:color w:val="0562C1"/>
            <w:w w:val="99"/>
            <w:u w:val="single" w:color="0562C1"/>
          </w:rPr>
          <w:t>d</w:t>
        </w:r>
        <w:r w:rsidRPr="007223FB">
          <w:rPr>
            <w:rFonts w:eastAsia="Candara" w:cs="Candara"/>
            <w:color w:val="0562C1"/>
            <w:spacing w:val="3"/>
            <w:w w:val="99"/>
            <w:u w:val="single" w:color="0562C1"/>
          </w:rPr>
          <w:t>a</w:t>
        </w:r>
        <w:r w:rsidRPr="007223FB">
          <w:rPr>
            <w:rFonts w:eastAsia="Candara" w:cs="Candara"/>
            <w:color w:val="0562C1"/>
            <w:w w:val="99"/>
            <w:u w:val="single" w:color="0562C1"/>
          </w:rPr>
          <w:t>d/</w:t>
        </w:r>
        <w:r w:rsidRPr="007223FB">
          <w:rPr>
            <w:rFonts w:eastAsia="Candara" w:cs="Candara"/>
            <w:color w:val="0562C1"/>
            <w:spacing w:val="1"/>
            <w:w w:val="99"/>
            <w:u w:val="single" w:color="0562C1"/>
          </w:rPr>
          <w:t>#</w:t>
        </w:r>
        <w:r w:rsidRPr="007223FB">
          <w:rPr>
            <w:rFonts w:eastAsia="Candara" w:cs="Candara"/>
            <w:color w:val="0562C1"/>
            <w:spacing w:val="-1"/>
            <w:w w:val="99"/>
            <w:u w:val="single" w:color="0562C1"/>
          </w:rPr>
          <w:t>i</w:t>
        </w:r>
        <w:r w:rsidRPr="007223FB">
          <w:rPr>
            <w:rFonts w:eastAsia="Candara" w:cs="Candara"/>
            <w:color w:val="0562C1"/>
            <w:spacing w:val="1"/>
            <w:w w:val="99"/>
            <w:u w:val="single" w:color="0562C1"/>
          </w:rPr>
          <w:t>x</w:t>
        </w:r>
        <w:r w:rsidRPr="007223FB">
          <w:rPr>
            <w:rFonts w:eastAsia="Candara" w:cs="Candara"/>
            <w:color w:val="0562C1"/>
            <w:w w:val="99"/>
            <w:u w:val="single" w:color="0562C1"/>
          </w:rPr>
          <w:t>zz</w:t>
        </w:r>
        <w:r w:rsidRPr="007223FB">
          <w:rPr>
            <w:rFonts w:eastAsia="Candara" w:cs="Candara"/>
            <w:color w:val="0562C1"/>
            <w:spacing w:val="2"/>
            <w:w w:val="99"/>
            <w:u w:val="single" w:color="0562C1"/>
          </w:rPr>
          <w:t>3</w:t>
        </w:r>
        <w:r w:rsidRPr="007223FB">
          <w:rPr>
            <w:rFonts w:eastAsia="Candara" w:cs="Candara"/>
            <w:color w:val="0562C1"/>
            <w:spacing w:val="-2"/>
            <w:w w:val="99"/>
            <w:u w:val="single" w:color="0562C1"/>
          </w:rPr>
          <w:t>P</w:t>
        </w:r>
        <w:r w:rsidRPr="007223FB">
          <w:rPr>
            <w:rFonts w:eastAsia="Candara" w:cs="Candara"/>
            <w:color w:val="0562C1"/>
            <w:spacing w:val="-1"/>
            <w:w w:val="99"/>
            <w:u w:val="single" w:color="0562C1"/>
          </w:rPr>
          <w:t>g6</w:t>
        </w:r>
        <w:r w:rsidRPr="007223FB">
          <w:rPr>
            <w:rFonts w:eastAsia="Candara" w:cs="Candara"/>
            <w:color w:val="0562C1"/>
            <w:spacing w:val="1"/>
            <w:w w:val="99"/>
            <w:u w:val="single" w:color="0562C1"/>
          </w:rPr>
          <w:t>px2V</w:t>
        </w:r>
        <w:r w:rsidRPr="007223FB">
          <w:rPr>
            <w:rFonts w:eastAsia="Candara" w:cs="Candara"/>
            <w:color w:val="0562C1"/>
            <w:w w:val="99"/>
            <w:u w:val="single" w:color="0562C1"/>
          </w:rPr>
          <w:t>8</w:t>
        </w:r>
        <w:r w:rsidRPr="007223FB">
          <w:rPr>
            <w:rFonts w:eastAsia="Candara" w:cs="Candara"/>
            <w:color w:val="0562C1"/>
            <w:spacing w:val="-1"/>
            <w:w w:val="99"/>
          </w:rPr>
          <w:t xml:space="preserve"> </w:t>
        </w:r>
      </w:hyperlink>
      <w:r w:rsidRPr="007223FB">
        <w:rPr>
          <w:rFonts w:eastAsia="Candara" w:cs="Candara"/>
          <w:color w:val="000000"/>
          <w:spacing w:val="-1"/>
        </w:rPr>
        <w:t>e</w:t>
      </w:r>
      <w:r w:rsidRPr="007223FB">
        <w:rPr>
          <w:rFonts w:eastAsia="Candara" w:cs="Candara"/>
          <w:color w:val="000000"/>
        </w:rPr>
        <w:t>l</w:t>
      </w:r>
      <w:r w:rsidRPr="007223FB">
        <w:rPr>
          <w:rFonts w:eastAsia="Candara" w:cs="Candara"/>
          <w:color w:val="000000"/>
          <w:spacing w:val="-2"/>
        </w:rPr>
        <w:t xml:space="preserve"> </w:t>
      </w:r>
      <w:r w:rsidRPr="007223FB">
        <w:rPr>
          <w:rFonts w:eastAsia="Candara" w:cs="Candara"/>
          <w:color w:val="000000"/>
          <w:spacing w:val="1"/>
        </w:rPr>
        <w:t>2</w:t>
      </w:r>
      <w:r w:rsidRPr="007223FB">
        <w:rPr>
          <w:rFonts w:eastAsia="Candara" w:cs="Candara"/>
          <w:color w:val="000000"/>
        </w:rPr>
        <w:t>0</w:t>
      </w:r>
      <w:r w:rsidRPr="007223FB">
        <w:rPr>
          <w:rFonts w:eastAsia="Candara" w:cs="Candara"/>
          <w:color w:val="000000"/>
          <w:spacing w:val="2"/>
        </w:rPr>
        <w:t>/</w:t>
      </w:r>
      <w:r w:rsidRPr="007223FB">
        <w:rPr>
          <w:rFonts w:eastAsia="Candara" w:cs="Candara"/>
          <w:color w:val="000000"/>
        </w:rPr>
        <w:t>01/1</w:t>
      </w:r>
      <w:r w:rsidRPr="007223FB">
        <w:rPr>
          <w:rFonts w:eastAsia="Candara" w:cs="Candara"/>
          <w:color w:val="000000"/>
          <w:spacing w:val="1"/>
        </w:rPr>
        <w:t>5</w:t>
      </w:r>
      <w:r w:rsidRPr="007223FB">
        <w:rPr>
          <w:rFonts w:eastAsia="Candara" w:cs="Candara"/>
          <w:color w:val="000000"/>
        </w:rPr>
        <w:t>.</w:t>
      </w:r>
    </w:p>
  </w:footnote>
  <w:footnote w:id="2">
    <w:p w:rsidR="003230FB" w:rsidRPr="007D662A" w:rsidRDefault="003230FB" w:rsidP="007223FB">
      <w:pPr>
        <w:pStyle w:val="Textonotapie"/>
        <w:rPr>
          <w:sz w:val="16"/>
          <w:szCs w:val="16"/>
        </w:rPr>
      </w:pPr>
      <w:r w:rsidRPr="007D662A">
        <w:rPr>
          <w:rStyle w:val="Refdenotaalpie"/>
          <w:sz w:val="16"/>
          <w:szCs w:val="16"/>
        </w:rPr>
        <w:footnoteRef/>
      </w:r>
      <w:r w:rsidRPr="007D662A">
        <w:rPr>
          <w:sz w:val="16"/>
          <w:szCs w:val="16"/>
        </w:rPr>
        <w:t xml:space="preserve"> La implementación de los lineamientos generales de política deben responder a la visión integral del desarrollo definida en el marco estratégico de planificación del país, conformado por el Plan Nacional de Desarrollo K’atun: Nuestra Guatemala 2032 y la Agenda 2030 para el Desarrollo Sostenible (Objetivos de Desarrollo Sostenible -ODS-. Normas del Sistema Nacional de Inversión Pública.  Ejercicio Fiscal 2019.</w:t>
      </w:r>
    </w:p>
  </w:footnote>
  <w:footnote w:id="3">
    <w:p w:rsidR="003230FB" w:rsidRPr="00D8726E" w:rsidRDefault="003230FB" w:rsidP="007223FB">
      <w:pPr>
        <w:pStyle w:val="Textonotapie"/>
        <w:rPr>
          <w:sz w:val="16"/>
          <w:szCs w:val="16"/>
        </w:rPr>
      </w:pPr>
      <w:r>
        <w:rPr>
          <w:rStyle w:val="Refdenotaalpie"/>
        </w:rPr>
        <w:footnoteRef/>
      </w:r>
      <w:r>
        <w:t xml:space="preserve"> </w:t>
      </w:r>
      <w:r w:rsidRPr="00185AE3">
        <w:rPr>
          <w:sz w:val="16"/>
          <w:szCs w:val="16"/>
        </w:rPr>
        <w:t>Punto Resolutivo 08-2017 del Consejo Nacional de Desarrollo Urbano y Rural –CONADUR-.</w:t>
      </w:r>
    </w:p>
  </w:footnote>
  <w:footnote w:id="4">
    <w:p w:rsidR="003230FB" w:rsidRPr="003D4968" w:rsidRDefault="003230FB" w:rsidP="007223FB">
      <w:pPr>
        <w:pStyle w:val="Textonotapie"/>
        <w:rPr>
          <w:sz w:val="16"/>
          <w:szCs w:val="16"/>
        </w:rPr>
      </w:pPr>
      <w:r w:rsidRPr="003D4968">
        <w:rPr>
          <w:rStyle w:val="Refdenotaalpie"/>
          <w:sz w:val="16"/>
          <w:szCs w:val="16"/>
        </w:rPr>
        <w:footnoteRef/>
      </w:r>
      <w:r w:rsidRPr="003D4968">
        <w:rPr>
          <w:sz w:val="16"/>
          <w:szCs w:val="16"/>
        </w:rPr>
        <w:t xml:space="preserve"> A la fecha </w:t>
      </w:r>
      <w:r>
        <w:rPr>
          <w:sz w:val="16"/>
          <w:szCs w:val="16"/>
        </w:rPr>
        <w:t xml:space="preserve">de la consulta al SNIP, </w:t>
      </w:r>
      <w:r w:rsidRPr="003D4968">
        <w:rPr>
          <w:sz w:val="16"/>
          <w:szCs w:val="16"/>
        </w:rPr>
        <w:t xml:space="preserve">el monto registrado por los gobiernos locales representa el 8.8% del total de las transferencias </w:t>
      </w:r>
      <w:r>
        <w:rPr>
          <w:sz w:val="16"/>
          <w:szCs w:val="16"/>
        </w:rPr>
        <w:t xml:space="preserve">del </w:t>
      </w:r>
      <w:r w:rsidRPr="003D4968">
        <w:rPr>
          <w:sz w:val="16"/>
          <w:szCs w:val="16"/>
        </w:rPr>
        <w:t xml:space="preserve"> presupuesto de inversión</w:t>
      </w:r>
      <w:r>
        <w:rPr>
          <w:sz w:val="16"/>
          <w:szCs w:val="16"/>
        </w:rPr>
        <w:t xml:space="preserve"> pública.</w:t>
      </w:r>
    </w:p>
    <w:p w:rsidR="003230FB" w:rsidRDefault="003230FB" w:rsidP="007223FB">
      <w:pPr>
        <w:pStyle w:val="Textonotapie"/>
      </w:pPr>
    </w:p>
  </w:footnote>
  <w:footnote w:id="5">
    <w:p w:rsidR="003230FB" w:rsidRDefault="003230FB" w:rsidP="00F6041D">
      <w:pPr>
        <w:pStyle w:val="Textonotapie"/>
      </w:pPr>
      <w:r>
        <w:rPr>
          <w:rStyle w:val="Refdenotaalpie"/>
        </w:rPr>
        <w:footnoteRef/>
      </w:r>
      <w:r>
        <w:t xml:space="preserve"> El objetivo de la política es proporcionar la reparación y solución de las violaciones a los derechos humanos de las 33 comunidades afectadas por la construcción de la hidroeléctrica Chixoy, a través de medidas que logren el desarrollo social y económico, el acceso a la tierra, la rehabilitación de infraestructura y el pleno ejercicio de los derechos. La temporalidad de ésta política es hasta el año 2029 y la institución responsable es COPREDEH.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020F5C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0E0BBB"/>
    <w:multiLevelType w:val="hybridMultilevel"/>
    <w:tmpl w:val="2D5CA01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nsid w:val="062A23F7"/>
    <w:multiLevelType w:val="multilevel"/>
    <w:tmpl w:val="CB0C2A34"/>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
    <w:nsid w:val="0A9703A3"/>
    <w:multiLevelType w:val="hybridMultilevel"/>
    <w:tmpl w:val="34945DD0"/>
    <w:lvl w:ilvl="0" w:tplc="100A000F">
      <w:start w:val="1"/>
      <w:numFmt w:val="decimal"/>
      <w:lvlText w:val="%1."/>
      <w:lvlJc w:val="left"/>
      <w:pPr>
        <w:ind w:left="360" w:hanging="360"/>
      </w:pPr>
      <w:rPr>
        <w:rFont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nsid w:val="115E6679"/>
    <w:multiLevelType w:val="multilevel"/>
    <w:tmpl w:val="DBC24B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D2C6EB3"/>
    <w:multiLevelType w:val="multilevel"/>
    <w:tmpl w:val="290E81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BA93899"/>
    <w:multiLevelType w:val="multilevel"/>
    <w:tmpl w:val="10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67625F20"/>
    <w:multiLevelType w:val="multilevel"/>
    <w:tmpl w:val="8AA2DE0A"/>
    <w:lvl w:ilvl="0">
      <w:start w:val="1"/>
      <w:numFmt w:val="decimal"/>
      <w:pStyle w:val="Listaconvietas4"/>
      <w:lvlText w:val="%1"/>
      <w:lvlJc w:val="left"/>
      <w:pPr>
        <w:tabs>
          <w:tab w:val="num" w:pos="360"/>
        </w:tabs>
        <w:ind w:left="360" w:hanging="360"/>
      </w:pPr>
      <w:rPr>
        <w:rFonts w:hint="default"/>
        <w:b/>
        <w:bCs/>
        <w:sz w:val="32"/>
        <w:szCs w:val="32"/>
      </w:rPr>
    </w:lvl>
    <w:lvl w:ilvl="1">
      <w:start w:val="1"/>
      <w:numFmt w:val="decimal"/>
      <w:lvlText w:val="%1.%2"/>
      <w:lvlJc w:val="left"/>
      <w:pPr>
        <w:tabs>
          <w:tab w:val="num" w:pos="360"/>
        </w:tabs>
        <w:ind w:left="360" w:hanging="360"/>
      </w:pPr>
      <w:rPr>
        <w:rFonts w:hint="default"/>
        <w:b/>
        <w:bCs/>
        <w:color w:val="auto"/>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7A0C7B0A"/>
    <w:multiLevelType w:val="hybridMultilevel"/>
    <w:tmpl w:val="7ED05EFA"/>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6"/>
  </w:num>
  <w:num w:numId="5">
    <w:abstractNumId w:val="1"/>
  </w:num>
  <w:num w:numId="6">
    <w:abstractNumId w:val="5"/>
  </w:num>
  <w:num w:numId="7">
    <w:abstractNumId w:val="4"/>
  </w:num>
  <w:num w:numId="8">
    <w:abstractNumId w:val="2"/>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D03"/>
    <w:rsid w:val="00000A63"/>
    <w:rsid w:val="000018DE"/>
    <w:rsid w:val="0000190E"/>
    <w:rsid w:val="00001C2C"/>
    <w:rsid w:val="000029D0"/>
    <w:rsid w:val="000040C2"/>
    <w:rsid w:val="0000458E"/>
    <w:rsid w:val="000047B1"/>
    <w:rsid w:val="000059E9"/>
    <w:rsid w:val="00006717"/>
    <w:rsid w:val="00007360"/>
    <w:rsid w:val="00007FDA"/>
    <w:rsid w:val="00010C64"/>
    <w:rsid w:val="00011B1C"/>
    <w:rsid w:val="00012241"/>
    <w:rsid w:val="00012380"/>
    <w:rsid w:val="000128BC"/>
    <w:rsid w:val="00012BF8"/>
    <w:rsid w:val="00015D3F"/>
    <w:rsid w:val="00016470"/>
    <w:rsid w:val="00016FA0"/>
    <w:rsid w:val="00017584"/>
    <w:rsid w:val="0001768F"/>
    <w:rsid w:val="00022004"/>
    <w:rsid w:val="00022F6E"/>
    <w:rsid w:val="00024246"/>
    <w:rsid w:val="00024285"/>
    <w:rsid w:val="0002617F"/>
    <w:rsid w:val="00026A0D"/>
    <w:rsid w:val="000274BA"/>
    <w:rsid w:val="00030C87"/>
    <w:rsid w:val="000316A3"/>
    <w:rsid w:val="000324F4"/>
    <w:rsid w:val="00032CF4"/>
    <w:rsid w:val="00035033"/>
    <w:rsid w:val="00036115"/>
    <w:rsid w:val="000365A7"/>
    <w:rsid w:val="00037AE2"/>
    <w:rsid w:val="00040542"/>
    <w:rsid w:val="00041777"/>
    <w:rsid w:val="00041FB2"/>
    <w:rsid w:val="00042018"/>
    <w:rsid w:val="00042490"/>
    <w:rsid w:val="00042BD5"/>
    <w:rsid w:val="000434A2"/>
    <w:rsid w:val="0004475F"/>
    <w:rsid w:val="00045070"/>
    <w:rsid w:val="000453B8"/>
    <w:rsid w:val="000468B8"/>
    <w:rsid w:val="00047BF1"/>
    <w:rsid w:val="0005150F"/>
    <w:rsid w:val="00051592"/>
    <w:rsid w:val="00051C3A"/>
    <w:rsid w:val="00055B3E"/>
    <w:rsid w:val="00055CD6"/>
    <w:rsid w:val="00061D7A"/>
    <w:rsid w:val="00062C63"/>
    <w:rsid w:val="00063572"/>
    <w:rsid w:val="00064FB6"/>
    <w:rsid w:val="00066228"/>
    <w:rsid w:val="00067403"/>
    <w:rsid w:val="00072CF0"/>
    <w:rsid w:val="000763CD"/>
    <w:rsid w:val="00076CB2"/>
    <w:rsid w:val="000772F2"/>
    <w:rsid w:val="00080194"/>
    <w:rsid w:val="00082575"/>
    <w:rsid w:val="00082E81"/>
    <w:rsid w:val="00083CB4"/>
    <w:rsid w:val="00084582"/>
    <w:rsid w:val="00085FBE"/>
    <w:rsid w:val="00086B98"/>
    <w:rsid w:val="00087FA3"/>
    <w:rsid w:val="00090E44"/>
    <w:rsid w:val="00092850"/>
    <w:rsid w:val="00094609"/>
    <w:rsid w:val="000951C6"/>
    <w:rsid w:val="00095A1E"/>
    <w:rsid w:val="000A0E60"/>
    <w:rsid w:val="000A0F6E"/>
    <w:rsid w:val="000A1542"/>
    <w:rsid w:val="000A283C"/>
    <w:rsid w:val="000A38A5"/>
    <w:rsid w:val="000A3F44"/>
    <w:rsid w:val="000A42A6"/>
    <w:rsid w:val="000A4948"/>
    <w:rsid w:val="000A6BCB"/>
    <w:rsid w:val="000B07D9"/>
    <w:rsid w:val="000B1DAE"/>
    <w:rsid w:val="000B44B2"/>
    <w:rsid w:val="000B6A14"/>
    <w:rsid w:val="000B7091"/>
    <w:rsid w:val="000C0266"/>
    <w:rsid w:val="000C06F5"/>
    <w:rsid w:val="000C1708"/>
    <w:rsid w:val="000C1E8B"/>
    <w:rsid w:val="000C28A6"/>
    <w:rsid w:val="000C2F7C"/>
    <w:rsid w:val="000C3250"/>
    <w:rsid w:val="000C4657"/>
    <w:rsid w:val="000C4887"/>
    <w:rsid w:val="000C57D4"/>
    <w:rsid w:val="000D030E"/>
    <w:rsid w:val="000D085A"/>
    <w:rsid w:val="000D0DC2"/>
    <w:rsid w:val="000D0DD6"/>
    <w:rsid w:val="000D113A"/>
    <w:rsid w:val="000D252E"/>
    <w:rsid w:val="000D3A60"/>
    <w:rsid w:val="000D4348"/>
    <w:rsid w:val="000D4FB1"/>
    <w:rsid w:val="000D5058"/>
    <w:rsid w:val="000D5609"/>
    <w:rsid w:val="000D629C"/>
    <w:rsid w:val="000D77C0"/>
    <w:rsid w:val="000E18DF"/>
    <w:rsid w:val="000E2809"/>
    <w:rsid w:val="000E4825"/>
    <w:rsid w:val="000E557D"/>
    <w:rsid w:val="000E7258"/>
    <w:rsid w:val="000E7C8D"/>
    <w:rsid w:val="000F08EE"/>
    <w:rsid w:val="000F0ABA"/>
    <w:rsid w:val="000F1614"/>
    <w:rsid w:val="000F3348"/>
    <w:rsid w:val="000F365A"/>
    <w:rsid w:val="000F39F1"/>
    <w:rsid w:val="000F4DE5"/>
    <w:rsid w:val="000F6F06"/>
    <w:rsid w:val="000F7BE5"/>
    <w:rsid w:val="0010010B"/>
    <w:rsid w:val="0010194A"/>
    <w:rsid w:val="00102D15"/>
    <w:rsid w:val="0010322B"/>
    <w:rsid w:val="00103CC2"/>
    <w:rsid w:val="00103CE8"/>
    <w:rsid w:val="00105780"/>
    <w:rsid w:val="0010597C"/>
    <w:rsid w:val="00106574"/>
    <w:rsid w:val="00107B8F"/>
    <w:rsid w:val="001109D8"/>
    <w:rsid w:val="00112C6A"/>
    <w:rsid w:val="001143B4"/>
    <w:rsid w:val="00114FEE"/>
    <w:rsid w:val="001154B2"/>
    <w:rsid w:val="00115F72"/>
    <w:rsid w:val="001165D2"/>
    <w:rsid w:val="00116B42"/>
    <w:rsid w:val="001171A0"/>
    <w:rsid w:val="0011787A"/>
    <w:rsid w:val="00122752"/>
    <w:rsid w:val="00123540"/>
    <w:rsid w:val="001236D2"/>
    <w:rsid w:val="001258E0"/>
    <w:rsid w:val="00126642"/>
    <w:rsid w:val="0012714D"/>
    <w:rsid w:val="00127433"/>
    <w:rsid w:val="00130212"/>
    <w:rsid w:val="00130F6A"/>
    <w:rsid w:val="001323D0"/>
    <w:rsid w:val="001327C4"/>
    <w:rsid w:val="00132FEA"/>
    <w:rsid w:val="001345C5"/>
    <w:rsid w:val="00134978"/>
    <w:rsid w:val="001354EE"/>
    <w:rsid w:val="001356B5"/>
    <w:rsid w:val="00135B7C"/>
    <w:rsid w:val="0013652F"/>
    <w:rsid w:val="00136B5E"/>
    <w:rsid w:val="00140278"/>
    <w:rsid w:val="00142D6B"/>
    <w:rsid w:val="001437BA"/>
    <w:rsid w:val="001439A6"/>
    <w:rsid w:val="00143ADD"/>
    <w:rsid w:val="00143E8C"/>
    <w:rsid w:val="0014443F"/>
    <w:rsid w:val="00144440"/>
    <w:rsid w:val="00144801"/>
    <w:rsid w:val="001448B2"/>
    <w:rsid w:val="00144B4A"/>
    <w:rsid w:val="001461E3"/>
    <w:rsid w:val="0014679E"/>
    <w:rsid w:val="00147243"/>
    <w:rsid w:val="00150A41"/>
    <w:rsid w:val="00153638"/>
    <w:rsid w:val="001539AA"/>
    <w:rsid w:val="00154A46"/>
    <w:rsid w:val="00154D59"/>
    <w:rsid w:val="001553D4"/>
    <w:rsid w:val="00155B4E"/>
    <w:rsid w:val="00156156"/>
    <w:rsid w:val="001573CD"/>
    <w:rsid w:val="0015792C"/>
    <w:rsid w:val="0016125F"/>
    <w:rsid w:val="001617C9"/>
    <w:rsid w:val="00162A44"/>
    <w:rsid w:val="00162B26"/>
    <w:rsid w:val="00162D8E"/>
    <w:rsid w:val="00162F39"/>
    <w:rsid w:val="00163A18"/>
    <w:rsid w:val="00164F66"/>
    <w:rsid w:val="0016529F"/>
    <w:rsid w:val="00166073"/>
    <w:rsid w:val="00166207"/>
    <w:rsid w:val="00166940"/>
    <w:rsid w:val="00171087"/>
    <w:rsid w:val="00171E36"/>
    <w:rsid w:val="001720E4"/>
    <w:rsid w:val="001724B3"/>
    <w:rsid w:val="001727BC"/>
    <w:rsid w:val="00172A24"/>
    <w:rsid w:val="0017450B"/>
    <w:rsid w:val="00176687"/>
    <w:rsid w:val="00177E9D"/>
    <w:rsid w:val="001816C0"/>
    <w:rsid w:val="00181A1F"/>
    <w:rsid w:val="00181C7A"/>
    <w:rsid w:val="00182B47"/>
    <w:rsid w:val="00184594"/>
    <w:rsid w:val="00184A30"/>
    <w:rsid w:val="001856E1"/>
    <w:rsid w:val="00185BAC"/>
    <w:rsid w:val="00185D6F"/>
    <w:rsid w:val="00186009"/>
    <w:rsid w:val="001861CA"/>
    <w:rsid w:val="00186E6F"/>
    <w:rsid w:val="00187009"/>
    <w:rsid w:val="0018708D"/>
    <w:rsid w:val="00187444"/>
    <w:rsid w:val="001877BB"/>
    <w:rsid w:val="0019017C"/>
    <w:rsid w:val="001904EF"/>
    <w:rsid w:val="00190EF4"/>
    <w:rsid w:val="001921FC"/>
    <w:rsid w:val="0019247C"/>
    <w:rsid w:val="001924CB"/>
    <w:rsid w:val="0019254D"/>
    <w:rsid w:val="00193A31"/>
    <w:rsid w:val="001954D2"/>
    <w:rsid w:val="001955B5"/>
    <w:rsid w:val="00195D4A"/>
    <w:rsid w:val="00196758"/>
    <w:rsid w:val="00197070"/>
    <w:rsid w:val="00197BB6"/>
    <w:rsid w:val="001A1940"/>
    <w:rsid w:val="001A1E9C"/>
    <w:rsid w:val="001A2148"/>
    <w:rsid w:val="001A2E84"/>
    <w:rsid w:val="001A4835"/>
    <w:rsid w:val="001A57E4"/>
    <w:rsid w:val="001A6E76"/>
    <w:rsid w:val="001B0906"/>
    <w:rsid w:val="001B0A4E"/>
    <w:rsid w:val="001B149B"/>
    <w:rsid w:val="001B27D8"/>
    <w:rsid w:val="001B3CF9"/>
    <w:rsid w:val="001B7136"/>
    <w:rsid w:val="001C217B"/>
    <w:rsid w:val="001C29ED"/>
    <w:rsid w:val="001C32E7"/>
    <w:rsid w:val="001C3B96"/>
    <w:rsid w:val="001C3F0D"/>
    <w:rsid w:val="001C45FB"/>
    <w:rsid w:val="001C4FFE"/>
    <w:rsid w:val="001C5533"/>
    <w:rsid w:val="001C61A0"/>
    <w:rsid w:val="001C6D57"/>
    <w:rsid w:val="001C7887"/>
    <w:rsid w:val="001C7B7B"/>
    <w:rsid w:val="001D02E6"/>
    <w:rsid w:val="001D06FC"/>
    <w:rsid w:val="001D156F"/>
    <w:rsid w:val="001D16D8"/>
    <w:rsid w:val="001D227F"/>
    <w:rsid w:val="001D233A"/>
    <w:rsid w:val="001D2723"/>
    <w:rsid w:val="001D3711"/>
    <w:rsid w:val="001D3D68"/>
    <w:rsid w:val="001D3F64"/>
    <w:rsid w:val="001D448C"/>
    <w:rsid w:val="001D48E9"/>
    <w:rsid w:val="001D6059"/>
    <w:rsid w:val="001D626C"/>
    <w:rsid w:val="001D6BF4"/>
    <w:rsid w:val="001D6D6F"/>
    <w:rsid w:val="001E1BA0"/>
    <w:rsid w:val="001E2190"/>
    <w:rsid w:val="001E2CB7"/>
    <w:rsid w:val="001E59F4"/>
    <w:rsid w:val="001E6CC9"/>
    <w:rsid w:val="001F18B8"/>
    <w:rsid w:val="001F1C7B"/>
    <w:rsid w:val="001F1F85"/>
    <w:rsid w:val="001F37F7"/>
    <w:rsid w:val="001F4F21"/>
    <w:rsid w:val="001F5505"/>
    <w:rsid w:val="001F79E2"/>
    <w:rsid w:val="001F7A90"/>
    <w:rsid w:val="00200932"/>
    <w:rsid w:val="0020111E"/>
    <w:rsid w:val="00201AF0"/>
    <w:rsid w:val="00202192"/>
    <w:rsid w:val="00203203"/>
    <w:rsid w:val="0020332C"/>
    <w:rsid w:val="00204084"/>
    <w:rsid w:val="00205173"/>
    <w:rsid w:val="00205E51"/>
    <w:rsid w:val="00207F08"/>
    <w:rsid w:val="0021094C"/>
    <w:rsid w:val="00210FFD"/>
    <w:rsid w:val="00211A32"/>
    <w:rsid w:val="00211E2F"/>
    <w:rsid w:val="00212CC2"/>
    <w:rsid w:val="0021323E"/>
    <w:rsid w:val="00213255"/>
    <w:rsid w:val="002132A3"/>
    <w:rsid w:val="00217426"/>
    <w:rsid w:val="00220977"/>
    <w:rsid w:val="00220FB9"/>
    <w:rsid w:val="002216A9"/>
    <w:rsid w:val="00221CB9"/>
    <w:rsid w:val="0022264A"/>
    <w:rsid w:val="0022292C"/>
    <w:rsid w:val="002246D8"/>
    <w:rsid w:val="00224FE8"/>
    <w:rsid w:val="00225937"/>
    <w:rsid w:val="002272FD"/>
    <w:rsid w:val="00230010"/>
    <w:rsid w:val="00231108"/>
    <w:rsid w:val="00231A54"/>
    <w:rsid w:val="00233303"/>
    <w:rsid w:val="00235322"/>
    <w:rsid w:val="00236117"/>
    <w:rsid w:val="002363A9"/>
    <w:rsid w:val="002369CA"/>
    <w:rsid w:val="00236A83"/>
    <w:rsid w:val="0023712E"/>
    <w:rsid w:val="00237243"/>
    <w:rsid w:val="0024086B"/>
    <w:rsid w:val="002418D4"/>
    <w:rsid w:val="00242A75"/>
    <w:rsid w:val="00244A96"/>
    <w:rsid w:val="00244F78"/>
    <w:rsid w:val="002458FA"/>
    <w:rsid w:val="0024627B"/>
    <w:rsid w:val="00246824"/>
    <w:rsid w:val="00247379"/>
    <w:rsid w:val="00251C30"/>
    <w:rsid w:val="00252A07"/>
    <w:rsid w:val="00252FB9"/>
    <w:rsid w:val="00253338"/>
    <w:rsid w:val="002557CA"/>
    <w:rsid w:val="00260B1E"/>
    <w:rsid w:val="002659A4"/>
    <w:rsid w:val="00266149"/>
    <w:rsid w:val="002663A1"/>
    <w:rsid w:val="002670DD"/>
    <w:rsid w:val="0026770B"/>
    <w:rsid w:val="00270880"/>
    <w:rsid w:val="00271D7E"/>
    <w:rsid w:val="00274706"/>
    <w:rsid w:val="002757B1"/>
    <w:rsid w:val="00277002"/>
    <w:rsid w:val="0027749F"/>
    <w:rsid w:val="002809AE"/>
    <w:rsid w:val="002816B1"/>
    <w:rsid w:val="002830B8"/>
    <w:rsid w:val="00283D55"/>
    <w:rsid w:val="00284434"/>
    <w:rsid w:val="00284571"/>
    <w:rsid w:val="002858E9"/>
    <w:rsid w:val="00285F41"/>
    <w:rsid w:val="0028761E"/>
    <w:rsid w:val="00290469"/>
    <w:rsid w:val="002924C3"/>
    <w:rsid w:val="002926C2"/>
    <w:rsid w:val="00293092"/>
    <w:rsid w:val="002933E6"/>
    <w:rsid w:val="002936B1"/>
    <w:rsid w:val="00295CDE"/>
    <w:rsid w:val="00297F6F"/>
    <w:rsid w:val="002A0013"/>
    <w:rsid w:val="002A01A3"/>
    <w:rsid w:val="002A0C1D"/>
    <w:rsid w:val="002A14B7"/>
    <w:rsid w:val="002A19ED"/>
    <w:rsid w:val="002A1EFB"/>
    <w:rsid w:val="002A2AF5"/>
    <w:rsid w:val="002A354A"/>
    <w:rsid w:val="002A71A7"/>
    <w:rsid w:val="002A7644"/>
    <w:rsid w:val="002B1D6C"/>
    <w:rsid w:val="002B3526"/>
    <w:rsid w:val="002B3AD4"/>
    <w:rsid w:val="002B3D71"/>
    <w:rsid w:val="002B3E98"/>
    <w:rsid w:val="002B3FD7"/>
    <w:rsid w:val="002B5034"/>
    <w:rsid w:val="002B5426"/>
    <w:rsid w:val="002B558E"/>
    <w:rsid w:val="002B5B9D"/>
    <w:rsid w:val="002B7C80"/>
    <w:rsid w:val="002B7F55"/>
    <w:rsid w:val="002C0E66"/>
    <w:rsid w:val="002C13F4"/>
    <w:rsid w:val="002C4670"/>
    <w:rsid w:val="002C5AAB"/>
    <w:rsid w:val="002C6796"/>
    <w:rsid w:val="002C6DB3"/>
    <w:rsid w:val="002C7D46"/>
    <w:rsid w:val="002D045F"/>
    <w:rsid w:val="002D2AF3"/>
    <w:rsid w:val="002D3930"/>
    <w:rsid w:val="002D3C82"/>
    <w:rsid w:val="002D532D"/>
    <w:rsid w:val="002D7A41"/>
    <w:rsid w:val="002D7FCE"/>
    <w:rsid w:val="002E0FBB"/>
    <w:rsid w:val="002E0FC7"/>
    <w:rsid w:val="002E2514"/>
    <w:rsid w:val="002E58E7"/>
    <w:rsid w:val="002E6FED"/>
    <w:rsid w:val="002E730C"/>
    <w:rsid w:val="002E7FB0"/>
    <w:rsid w:val="002F095D"/>
    <w:rsid w:val="002F0975"/>
    <w:rsid w:val="002F0993"/>
    <w:rsid w:val="002F0C78"/>
    <w:rsid w:val="002F177B"/>
    <w:rsid w:val="002F1A99"/>
    <w:rsid w:val="002F2F2A"/>
    <w:rsid w:val="002F3081"/>
    <w:rsid w:val="002F37AC"/>
    <w:rsid w:val="002F4DC8"/>
    <w:rsid w:val="002F6AE9"/>
    <w:rsid w:val="002F78F5"/>
    <w:rsid w:val="00300A2A"/>
    <w:rsid w:val="00300C09"/>
    <w:rsid w:val="00303B6B"/>
    <w:rsid w:val="00304CBC"/>
    <w:rsid w:val="0030546C"/>
    <w:rsid w:val="003055F7"/>
    <w:rsid w:val="00305AEE"/>
    <w:rsid w:val="00305B38"/>
    <w:rsid w:val="00305C06"/>
    <w:rsid w:val="003064EB"/>
    <w:rsid w:val="00306E09"/>
    <w:rsid w:val="00307603"/>
    <w:rsid w:val="00310868"/>
    <w:rsid w:val="00310A2B"/>
    <w:rsid w:val="00311459"/>
    <w:rsid w:val="00311CA9"/>
    <w:rsid w:val="00312035"/>
    <w:rsid w:val="00313231"/>
    <w:rsid w:val="00313529"/>
    <w:rsid w:val="003137EE"/>
    <w:rsid w:val="003142B2"/>
    <w:rsid w:val="00315D15"/>
    <w:rsid w:val="00316A81"/>
    <w:rsid w:val="00316BFD"/>
    <w:rsid w:val="0031798C"/>
    <w:rsid w:val="00320DC7"/>
    <w:rsid w:val="0032175B"/>
    <w:rsid w:val="00321E46"/>
    <w:rsid w:val="00322968"/>
    <w:rsid w:val="00322B00"/>
    <w:rsid w:val="00322C11"/>
    <w:rsid w:val="003230FB"/>
    <w:rsid w:val="003234A3"/>
    <w:rsid w:val="00323A9D"/>
    <w:rsid w:val="00325E59"/>
    <w:rsid w:val="00326061"/>
    <w:rsid w:val="003303E4"/>
    <w:rsid w:val="00331AB9"/>
    <w:rsid w:val="00331D0D"/>
    <w:rsid w:val="003356F5"/>
    <w:rsid w:val="00336774"/>
    <w:rsid w:val="0033755A"/>
    <w:rsid w:val="00341144"/>
    <w:rsid w:val="00344084"/>
    <w:rsid w:val="0034612C"/>
    <w:rsid w:val="00347120"/>
    <w:rsid w:val="0034764A"/>
    <w:rsid w:val="003506C3"/>
    <w:rsid w:val="00350D81"/>
    <w:rsid w:val="0035128D"/>
    <w:rsid w:val="00352973"/>
    <w:rsid w:val="00354AFF"/>
    <w:rsid w:val="00355E28"/>
    <w:rsid w:val="00356B42"/>
    <w:rsid w:val="00357A1D"/>
    <w:rsid w:val="003611FF"/>
    <w:rsid w:val="00362830"/>
    <w:rsid w:val="00362D6B"/>
    <w:rsid w:val="00366B21"/>
    <w:rsid w:val="00366B3F"/>
    <w:rsid w:val="00366DC1"/>
    <w:rsid w:val="003675CA"/>
    <w:rsid w:val="00367914"/>
    <w:rsid w:val="003702BF"/>
    <w:rsid w:val="00370E38"/>
    <w:rsid w:val="00372398"/>
    <w:rsid w:val="003725A0"/>
    <w:rsid w:val="0037398E"/>
    <w:rsid w:val="00375226"/>
    <w:rsid w:val="003758F0"/>
    <w:rsid w:val="00375FB8"/>
    <w:rsid w:val="0037626C"/>
    <w:rsid w:val="003770DB"/>
    <w:rsid w:val="00377472"/>
    <w:rsid w:val="003775C5"/>
    <w:rsid w:val="003776F5"/>
    <w:rsid w:val="00377FCB"/>
    <w:rsid w:val="0038008B"/>
    <w:rsid w:val="00381421"/>
    <w:rsid w:val="00381D98"/>
    <w:rsid w:val="00383056"/>
    <w:rsid w:val="00383522"/>
    <w:rsid w:val="00384D74"/>
    <w:rsid w:val="003854CF"/>
    <w:rsid w:val="00386210"/>
    <w:rsid w:val="00386B42"/>
    <w:rsid w:val="0038708E"/>
    <w:rsid w:val="00387BAC"/>
    <w:rsid w:val="00391323"/>
    <w:rsid w:val="00391378"/>
    <w:rsid w:val="003926A3"/>
    <w:rsid w:val="00392DC4"/>
    <w:rsid w:val="00395EDC"/>
    <w:rsid w:val="003975CA"/>
    <w:rsid w:val="0039774A"/>
    <w:rsid w:val="00397CF9"/>
    <w:rsid w:val="003A069A"/>
    <w:rsid w:val="003A18DA"/>
    <w:rsid w:val="003A24E7"/>
    <w:rsid w:val="003A3D8C"/>
    <w:rsid w:val="003A4379"/>
    <w:rsid w:val="003A5117"/>
    <w:rsid w:val="003B03AF"/>
    <w:rsid w:val="003B2304"/>
    <w:rsid w:val="003B25FC"/>
    <w:rsid w:val="003B2D88"/>
    <w:rsid w:val="003B3479"/>
    <w:rsid w:val="003B370F"/>
    <w:rsid w:val="003B3F66"/>
    <w:rsid w:val="003B457C"/>
    <w:rsid w:val="003B4E10"/>
    <w:rsid w:val="003B53B2"/>
    <w:rsid w:val="003B613C"/>
    <w:rsid w:val="003B63FE"/>
    <w:rsid w:val="003B7546"/>
    <w:rsid w:val="003B7F92"/>
    <w:rsid w:val="003C2525"/>
    <w:rsid w:val="003C2A36"/>
    <w:rsid w:val="003C3640"/>
    <w:rsid w:val="003C3ADA"/>
    <w:rsid w:val="003C4195"/>
    <w:rsid w:val="003C4379"/>
    <w:rsid w:val="003C51D9"/>
    <w:rsid w:val="003C59D5"/>
    <w:rsid w:val="003C5D87"/>
    <w:rsid w:val="003D29C3"/>
    <w:rsid w:val="003D3FD0"/>
    <w:rsid w:val="003D4EC3"/>
    <w:rsid w:val="003E1881"/>
    <w:rsid w:val="003E360F"/>
    <w:rsid w:val="003E38C1"/>
    <w:rsid w:val="003E3B44"/>
    <w:rsid w:val="003E5BFA"/>
    <w:rsid w:val="003E6717"/>
    <w:rsid w:val="003E6EB8"/>
    <w:rsid w:val="003E76E3"/>
    <w:rsid w:val="003E7CA2"/>
    <w:rsid w:val="003E7FB9"/>
    <w:rsid w:val="003F0013"/>
    <w:rsid w:val="003F059A"/>
    <w:rsid w:val="003F0B9C"/>
    <w:rsid w:val="003F1176"/>
    <w:rsid w:val="003F2A9F"/>
    <w:rsid w:val="003F31D4"/>
    <w:rsid w:val="003F4F23"/>
    <w:rsid w:val="003F5912"/>
    <w:rsid w:val="003F7CCA"/>
    <w:rsid w:val="00401D7C"/>
    <w:rsid w:val="00403735"/>
    <w:rsid w:val="00404969"/>
    <w:rsid w:val="004056BA"/>
    <w:rsid w:val="004062E2"/>
    <w:rsid w:val="00406563"/>
    <w:rsid w:val="004079C5"/>
    <w:rsid w:val="00407D6A"/>
    <w:rsid w:val="00411280"/>
    <w:rsid w:val="0041132A"/>
    <w:rsid w:val="00411C20"/>
    <w:rsid w:val="00413D0B"/>
    <w:rsid w:val="004141B5"/>
    <w:rsid w:val="004143D3"/>
    <w:rsid w:val="004147FA"/>
    <w:rsid w:val="00416732"/>
    <w:rsid w:val="00417260"/>
    <w:rsid w:val="00417975"/>
    <w:rsid w:val="00420BDF"/>
    <w:rsid w:val="00422EDC"/>
    <w:rsid w:val="00423C66"/>
    <w:rsid w:val="00424613"/>
    <w:rsid w:val="00424B86"/>
    <w:rsid w:val="004252CD"/>
    <w:rsid w:val="00425F0E"/>
    <w:rsid w:val="00426ABF"/>
    <w:rsid w:val="00427E6F"/>
    <w:rsid w:val="00431EEE"/>
    <w:rsid w:val="004348F7"/>
    <w:rsid w:val="00434ED2"/>
    <w:rsid w:val="00435A6F"/>
    <w:rsid w:val="00436DD4"/>
    <w:rsid w:val="00437C8D"/>
    <w:rsid w:val="004404F8"/>
    <w:rsid w:val="00441E09"/>
    <w:rsid w:val="00442354"/>
    <w:rsid w:val="00442D09"/>
    <w:rsid w:val="004430B2"/>
    <w:rsid w:val="00444A77"/>
    <w:rsid w:val="00446A6D"/>
    <w:rsid w:val="00446C27"/>
    <w:rsid w:val="00446CC8"/>
    <w:rsid w:val="00446E0B"/>
    <w:rsid w:val="00446F59"/>
    <w:rsid w:val="00451731"/>
    <w:rsid w:val="00455410"/>
    <w:rsid w:val="00455707"/>
    <w:rsid w:val="00455FFB"/>
    <w:rsid w:val="004568BE"/>
    <w:rsid w:val="00457BE9"/>
    <w:rsid w:val="004623B0"/>
    <w:rsid w:val="00462FD4"/>
    <w:rsid w:val="004679AA"/>
    <w:rsid w:val="00467EA1"/>
    <w:rsid w:val="00470874"/>
    <w:rsid w:val="00471147"/>
    <w:rsid w:val="00471D2D"/>
    <w:rsid w:val="00472C35"/>
    <w:rsid w:val="004736EB"/>
    <w:rsid w:val="004745DE"/>
    <w:rsid w:val="0047464D"/>
    <w:rsid w:val="00475654"/>
    <w:rsid w:val="00475FEA"/>
    <w:rsid w:val="0047645F"/>
    <w:rsid w:val="00476E0A"/>
    <w:rsid w:val="00476E70"/>
    <w:rsid w:val="00480F2D"/>
    <w:rsid w:val="00484802"/>
    <w:rsid w:val="00485ADC"/>
    <w:rsid w:val="00487112"/>
    <w:rsid w:val="004903A5"/>
    <w:rsid w:val="00491338"/>
    <w:rsid w:val="00491E04"/>
    <w:rsid w:val="0049222E"/>
    <w:rsid w:val="0049291E"/>
    <w:rsid w:val="00493FC8"/>
    <w:rsid w:val="004941BF"/>
    <w:rsid w:val="0049426C"/>
    <w:rsid w:val="0049503D"/>
    <w:rsid w:val="004952C5"/>
    <w:rsid w:val="00495411"/>
    <w:rsid w:val="00495FC6"/>
    <w:rsid w:val="00497297"/>
    <w:rsid w:val="00497707"/>
    <w:rsid w:val="004A0CEF"/>
    <w:rsid w:val="004A1FD6"/>
    <w:rsid w:val="004A22E4"/>
    <w:rsid w:val="004A3018"/>
    <w:rsid w:val="004A42F9"/>
    <w:rsid w:val="004A45FF"/>
    <w:rsid w:val="004A5019"/>
    <w:rsid w:val="004A5297"/>
    <w:rsid w:val="004A5A19"/>
    <w:rsid w:val="004A5BFC"/>
    <w:rsid w:val="004A5DEC"/>
    <w:rsid w:val="004A662C"/>
    <w:rsid w:val="004A668C"/>
    <w:rsid w:val="004A6835"/>
    <w:rsid w:val="004A6DD9"/>
    <w:rsid w:val="004B38D1"/>
    <w:rsid w:val="004B49C5"/>
    <w:rsid w:val="004B5B23"/>
    <w:rsid w:val="004B662C"/>
    <w:rsid w:val="004B68F2"/>
    <w:rsid w:val="004B6E74"/>
    <w:rsid w:val="004C0CAE"/>
    <w:rsid w:val="004C1E1D"/>
    <w:rsid w:val="004C3530"/>
    <w:rsid w:val="004C3BC3"/>
    <w:rsid w:val="004C40CC"/>
    <w:rsid w:val="004C4652"/>
    <w:rsid w:val="004C50AC"/>
    <w:rsid w:val="004C562E"/>
    <w:rsid w:val="004C5B14"/>
    <w:rsid w:val="004C617B"/>
    <w:rsid w:val="004C62DB"/>
    <w:rsid w:val="004C659C"/>
    <w:rsid w:val="004C776A"/>
    <w:rsid w:val="004D1EBC"/>
    <w:rsid w:val="004D2AB3"/>
    <w:rsid w:val="004D3AF7"/>
    <w:rsid w:val="004D3F05"/>
    <w:rsid w:val="004D447D"/>
    <w:rsid w:val="004D45C2"/>
    <w:rsid w:val="004D56A9"/>
    <w:rsid w:val="004D5BC7"/>
    <w:rsid w:val="004D622C"/>
    <w:rsid w:val="004D7C07"/>
    <w:rsid w:val="004E05C4"/>
    <w:rsid w:val="004E11A2"/>
    <w:rsid w:val="004E2E4F"/>
    <w:rsid w:val="004E2F35"/>
    <w:rsid w:val="004E33F9"/>
    <w:rsid w:val="004E5CAE"/>
    <w:rsid w:val="004E61A8"/>
    <w:rsid w:val="004F0750"/>
    <w:rsid w:val="004F112B"/>
    <w:rsid w:val="004F14CB"/>
    <w:rsid w:val="004F1663"/>
    <w:rsid w:val="004F244C"/>
    <w:rsid w:val="004F3543"/>
    <w:rsid w:val="004F36F6"/>
    <w:rsid w:val="004F49FB"/>
    <w:rsid w:val="004F4E2D"/>
    <w:rsid w:val="004F6AB4"/>
    <w:rsid w:val="005017F4"/>
    <w:rsid w:val="00502311"/>
    <w:rsid w:val="0050245F"/>
    <w:rsid w:val="005027D8"/>
    <w:rsid w:val="005030AA"/>
    <w:rsid w:val="00503A24"/>
    <w:rsid w:val="00504626"/>
    <w:rsid w:val="0050682C"/>
    <w:rsid w:val="00507AFF"/>
    <w:rsid w:val="00507FFB"/>
    <w:rsid w:val="00511757"/>
    <w:rsid w:val="00512727"/>
    <w:rsid w:val="00512E3C"/>
    <w:rsid w:val="005132E9"/>
    <w:rsid w:val="005170A7"/>
    <w:rsid w:val="00517866"/>
    <w:rsid w:val="00517944"/>
    <w:rsid w:val="00520400"/>
    <w:rsid w:val="005206F4"/>
    <w:rsid w:val="0052115B"/>
    <w:rsid w:val="00521B4B"/>
    <w:rsid w:val="005232F7"/>
    <w:rsid w:val="00523DD3"/>
    <w:rsid w:val="005243BD"/>
    <w:rsid w:val="00524A83"/>
    <w:rsid w:val="00526FAB"/>
    <w:rsid w:val="00526FC3"/>
    <w:rsid w:val="005311D5"/>
    <w:rsid w:val="00532403"/>
    <w:rsid w:val="0053363E"/>
    <w:rsid w:val="00533FE6"/>
    <w:rsid w:val="005369F8"/>
    <w:rsid w:val="00540126"/>
    <w:rsid w:val="0054085D"/>
    <w:rsid w:val="00540FA1"/>
    <w:rsid w:val="00541A2D"/>
    <w:rsid w:val="005421F2"/>
    <w:rsid w:val="0054374B"/>
    <w:rsid w:val="00547379"/>
    <w:rsid w:val="00551045"/>
    <w:rsid w:val="005511B4"/>
    <w:rsid w:val="005513C1"/>
    <w:rsid w:val="00553A5F"/>
    <w:rsid w:val="00556167"/>
    <w:rsid w:val="0055652F"/>
    <w:rsid w:val="00556A1A"/>
    <w:rsid w:val="0055746D"/>
    <w:rsid w:val="005576FB"/>
    <w:rsid w:val="005617A2"/>
    <w:rsid w:val="00561870"/>
    <w:rsid w:val="00563677"/>
    <w:rsid w:val="00563FF7"/>
    <w:rsid w:val="00566C6B"/>
    <w:rsid w:val="005670EE"/>
    <w:rsid w:val="00570264"/>
    <w:rsid w:val="00572BF2"/>
    <w:rsid w:val="00573337"/>
    <w:rsid w:val="0058044A"/>
    <w:rsid w:val="00581935"/>
    <w:rsid w:val="005821F9"/>
    <w:rsid w:val="00582A85"/>
    <w:rsid w:val="00582D3F"/>
    <w:rsid w:val="00584383"/>
    <w:rsid w:val="00584C62"/>
    <w:rsid w:val="005850D7"/>
    <w:rsid w:val="00585BCE"/>
    <w:rsid w:val="00586695"/>
    <w:rsid w:val="00590E9B"/>
    <w:rsid w:val="00593008"/>
    <w:rsid w:val="00593ADD"/>
    <w:rsid w:val="00594F46"/>
    <w:rsid w:val="00596CDD"/>
    <w:rsid w:val="005A09F6"/>
    <w:rsid w:val="005A1585"/>
    <w:rsid w:val="005A1B03"/>
    <w:rsid w:val="005A2AA9"/>
    <w:rsid w:val="005A3D5A"/>
    <w:rsid w:val="005A5236"/>
    <w:rsid w:val="005A71EA"/>
    <w:rsid w:val="005A74C0"/>
    <w:rsid w:val="005B063F"/>
    <w:rsid w:val="005B169E"/>
    <w:rsid w:val="005B5137"/>
    <w:rsid w:val="005B5B30"/>
    <w:rsid w:val="005B5B59"/>
    <w:rsid w:val="005B5CB1"/>
    <w:rsid w:val="005B7193"/>
    <w:rsid w:val="005C08BF"/>
    <w:rsid w:val="005C1022"/>
    <w:rsid w:val="005C2CFB"/>
    <w:rsid w:val="005C39F7"/>
    <w:rsid w:val="005C4ECD"/>
    <w:rsid w:val="005C5A6F"/>
    <w:rsid w:val="005C5B37"/>
    <w:rsid w:val="005C7320"/>
    <w:rsid w:val="005D0341"/>
    <w:rsid w:val="005D0B70"/>
    <w:rsid w:val="005D1AB8"/>
    <w:rsid w:val="005D2B9A"/>
    <w:rsid w:val="005D59D4"/>
    <w:rsid w:val="005D5D7D"/>
    <w:rsid w:val="005D60A0"/>
    <w:rsid w:val="005E14FA"/>
    <w:rsid w:val="005E1E6E"/>
    <w:rsid w:val="005E3190"/>
    <w:rsid w:val="005E32EA"/>
    <w:rsid w:val="005E35F6"/>
    <w:rsid w:val="005E38F0"/>
    <w:rsid w:val="005E3904"/>
    <w:rsid w:val="005E3D9B"/>
    <w:rsid w:val="005E3DCA"/>
    <w:rsid w:val="005E4DE6"/>
    <w:rsid w:val="005E55F5"/>
    <w:rsid w:val="005E5902"/>
    <w:rsid w:val="005E6768"/>
    <w:rsid w:val="005E694A"/>
    <w:rsid w:val="005E6FE1"/>
    <w:rsid w:val="005E7338"/>
    <w:rsid w:val="005E738C"/>
    <w:rsid w:val="005E7422"/>
    <w:rsid w:val="005E7DA3"/>
    <w:rsid w:val="005F10BF"/>
    <w:rsid w:val="005F1B1F"/>
    <w:rsid w:val="005F6AC4"/>
    <w:rsid w:val="005F78A6"/>
    <w:rsid w:val="00600742"/>
    <w:rsid w:val="006011DF"/>
    <w:rsid w:val="0060152A"/>
    <w:rsid w:val="006022CE"/>
    <w:rsid w:val="00603E15"/>
    <w:rsid w:val="006044F2"/>
    <w:rsid w:val="00604DA1"/>
    <w:rsid w:val="00605354"/>
    <w:rsid w:val="006057E8"/>
    <w:rsid w:val="00605A32"/>
    <w:rsid w:val="0060649F"/>
    <w:rsid w:val="0060683E"/>
    <w:rsid w:val="006073D6"/>
    <w:rsid w:val="00607847"/>
    <w:rsid w:val="00611849"/>
    <w:rsid w:val="00611D1B"/>
    <w:rsid w:val="00612C7F"/>
    <w:rsid w:val="00613D34"/>
    <w:rsid w:val="00613D6C"/>
    <w:rsid w:val="00614224"/>
    <w:rsid w:val="00615BA2"/>
    <w:rsid w:val="00616B01"/>
    <w:rsid w:val="00617D78"/>
    <w:rsid w:val="00621BB0"/>
    <w:rsid w:val="00622D5C"/>
    <w:rsid w:val="00622DE9"/>
    <w:rsid w:val="0062349D"/>
    <w:rsid w:val="006248EE"/>
    <w:rsid w:val="00624F36"/>
    <w:rsid w:val="00625AAA"/>
    <w:rsid w:val="00626643"/>
    <w:rsid w:val="00627315"/>
    <w:rsid w:val="00627FA1"/>
    <w:rsid w:val="00630267"/>
    <w:rsid w:val="00632721"/>
    <w:rsid w:val="00633E32"/>
    <w:rsid w:val="00634958"/>
    <w:rsid w:val="00634C0D"/>
    <w:rsid w:val="0063553A"/>
    <w:rsid w:val="00636675"/>
    <w:rsid w:val="006377F3"/>
    <w:rsid w:val="0064091A"/>
    <w:rsid w:val="0064105D"/>
    <w:rsid w:val="00641D9C"/>
    <w:rsid w:val="0064230F"/>
    <w:rsid w:val="00642D87"/>
    <w:rsid w:val="006467FF"/>
    <w:rsid w:val="00650A71"/>
    <w:rsid w:val="0065196C"/>
    <w:rsid w:val="00651A41"/>
    <w:rsid w:val="00652BA2"/>
    <w:rsid w:val="006539A1"/>
    <w:rsid w:val="00653EC1"/>
    <w:rsid w:val="00654E5D"/>
    <w:rsid w:val="00655FF2"/>
    <w:rsid w:val="006563BF"/>
    <w:rsid w:val="0065759B"/>
    <w:rsid w:val="00657C19"/>
    <w:rsid w:val="00660847"/>
    <w:rsid w:val="00662049"/>
    <w:rsid w:val="0066252E"/>
    <w:rsid w:val="006636DB"/>
    <w:rsid w:val="00663A6E"/>
    <w:rsid w:val="00663DA6"/>
    <w:rsid w:val="00664EF3"/>
    <w:rsid w:val="00665C8F"/>
    <w:rsid w:val="006674C3"/>
    <w:rsid w:val="006704CE"/>
    <w:rsid w:val="00670758"/>
    <w:rsid w:val="006712D5"/>
    <w:rsid w:val="006714B1"/>
    <w:rsid w:val="00671950"/>
    <w:rsid w:val="00672ABE"/>
    <w:rsid w:val="00672F95"/>
    <w:rsid w:val="0067618B"/>
    <w:rsid w:val="00677229"/>
    <w:rsid w:val="00677C6C"/>
    <w:rsid w:val="00681550"/>
    <w:rsid w:val="00682378"/>
    <w:rsid w:val="006849F5"/>
    <w:rsid w:val="00685B6A"/>
    <w:rsid w:val="00685E72"/>
    <w:rsid w:val="00685F00"/>
    <w:rsid w:val="006871F6"/>
    <w:rsid w:val="0068724E"/>
    <w:rsid w:val="0069019F"/>
    <w:rsid w:val="00690833"/>
    <w:rsid w:val="00691366"/>
    <w:rsid w:val="006926FD"/>
    <w:rsid w:val="006929C1"/>
    <w:rsid w:val="006932EA"/>
    <w:rsid w:val="00693CF4"/>
    <w:rsid w:val="006955EE"/>
    <w:rsid w:val="006961D6"/>
    <w:rsid w:val="00696D1B"/>
    <w:rsid w:val="00697430"/>
    <w:rsid w:val="006A00E0"/>
    <w:rsid w:val="006A0357"/>
    <w:rsid w:val="006A11DD"/>
    <w:rsid w:val="006A1B0F"/>
    <w:rsid w:val="006A25A8"/>
    <w:rsid w:val="006A25D7"/>
    <w:rsid w:val="006A5968"/>
    <w:rsid w:val="006A5AC2"/>
    <w:rsid w:val="006A6936"/>
    <w:rsid w:val="006A73C8"/>
    <w:rsid w:val="006B05FA"/>
    <w:rsid w:val="006B100D"/>
    <w:rsid w:val="006B1421"/>
    <w:rsid w:val="006B2527"/>
    <w:rsid w:val="006B44DC"/>
    <w:rsid w:val="006B7171"/>
    <w:rsid w:val="006C0079"/>
    <w:rsid w:val="006C00E7"/>
    <w:rsid w:val="006C026F"/>
    <w:rsid w:val="006C0636"/>
    <w:rsid w:val="006C101A"/>
    <w:rsid w:val="006C13F5"/>
    <w:rsid w:val="006C26AD"/>
    <w:rsid w:val="006C2B22"/>
    <w:rsid w:val="006C353F"/>
    <w:rsid w:val="006C59BF"/>
    <w:rsid w:val="006C6594"/>
    <w:rsid w:val="006D1E6D"/>
    <w:rsid w:val="006D4911"/>
    <w:rsid w:val="006D5A9C"/>
    <w:rsid w:val="006D61BA"/>
    <w:rsid w:val="006D72B0"/>
    <w:rsid w:val="006E0030"/>
    <w:rsid w:val="006E2065"/>
    <w:rsid w:val="006E2464"/>
    <w:rsid w:val="006E2EF9"/>
    <w:rsid w:val="006E30A5"/>
    <w:rsid w:val="006E33CE"/>
    <w:rsid w:val="006E3B67"/>
    <w:rsid w:val="006E3E99"/>
    <w:rsid w:val="006E47AF"/>
    <w:rsid w:val="006E5B78"/>
    <w:rsid w:val="006E66CA"/>
    <w:rsid w:val="006F0CCA"/>
    <w:rsid w:val="006F2C98"/>
    <w:rsid w:val="006F3FF3"/>
    <w:rsid w:val="006F4BE8"/>
    <w:rsid w:val="006F609F"/>
    <w:rsid w:val="006F723D"/>
    <w:rsid w:val="00700AE8"/>
    <w:rsid w:val="00701717"/>
    <w:rsid w:val="00703916"/>
    <w:rsid w:val="007041FB"/>
    <w:rsid w:val="00704297"/>
    <w:rsid w:val="00705260"/>
    <w:rsid w:val="00706644"/>
    <w:rsid w:val="007073E2"/>
    <w:rsid w:val="00710D3C"/>
    <w:rsid w:val="00710D8F"/>
    <w:rsid w:val="00711542"/>
    <w:rsid w:val="00711B0E"/>
    <w:rsid w:val="007120B7"/>
    <w:rsid w:val="00712839"/>
    <w:rsid w:val="007140CB"/>
    <w:rsid w:val="00714604"/>
    <w:rsid w:val="00716D8B"/>
    <w:rsid w:val="0071771A"/>
    <w:rsid w:val="007207DB"/>
    <w:rsid w:val="0072163D"/>
    <w:rsid w:val="007223FB"/>
    <w:rsid w:val="00722524"/>
    <w:rsid w:val="00723149"/>
    <w:rsid w:val="00723A86"/>
    <w:rsid w:val="00725577"/>
    <w:rsid w:val="007255C2"/>
    <w:rsid w:val="00725A7D"/>
    <w:rsid w:val="00726161"/>
    <w:rsid w:val="0072780C"/>
    <w:rsid w:val="00727900"/>
    <w:rsid w:val="00731E55"/>
    <w:rsid w:val="007328D2"/>
    <w:rsid w:val="00733871"/>
    <w:rsid w:val="0073397D"/>
    <w:rsid w:val="0073444B"/>
    <w:rsid w:val="007349E6"/>
    <w:rsid w:val="0073624C"/>
    <w:rsid w:val="007367F0"/>
    <w:rsid w:val="00736814"/>
    <w:rsid w:val="00736843"/>
    <w:rsid w:val="00736A37"/>
    <w:rsid w:val="00736DB2"/>
    <w:rsid w:val="00736F8B"/>
    <w:rsid w:val="007412BE"/>
    <w:rsid w:val="0074294B"/>
    <w:rsid w:val="00744582"/>
    <w:rsid w:val="0074598B"/>
    <w:rsid w:val="007469EE"/>
    <w:rsid w:val="00746FBF"/>
    <w:rsid w:val="0075050B"/>
    <w:rsid w:val="0075096A"/>
    <w:rsid w:val="00750985"/>
    <w:rsid w:val="007512C7"/>
    <w:rsid w:val="00751939"/>
    <w:rsid w:val="00753B69"/>
    <w:rsid w:val="00753D0E"/>
    <w:rsid w:val="00756758"/>
    <w:rsid w:val="00757068"/>
    <w:rsid w:val="00757575"/>
    <w:rsid w:val="007576D6"/>
    <w:rsid w:val="00757A23"/>
    <w:rsid w:val="007603DA"/>
    <w:rsid w:val="0076091E"/>
    <w:rsid w:val="00761380"/>
    <w:rsid w:val="00761C42"/>
    <w:rsid w:val="00762326"/>
    <w:rsid w:val="00762385"/>
    <w:rsid w:val="00763A8F"/>
    <w:rsid w:val="00764117"/>
    <w:rsid w:val="007645C7"/>
    <w:rsid w:val="00765ACE"/>
    <w:rsid w:val="007662F0"/>
    <w:rsid w:val="0076632E"/>
    <w:rsid w:val="007664ED"/>
    <w:rsid w:val="00767356"/>
    <w:rsid w:val="007674A5"/>
    <w:rsid w:val="0076793C"/>
    <w:rsid w:val="00770AED"/>
    <w:rsid w:val="007724F7"/>
    <w:rsid w:val="00772931"/>
    <w:rsid w:val="007730B3"/>
    <w:rsid w:val="007741F3"/>
    <w:rsid w:val="007747BC"/>
    <w:rsid w:val="0077480E"/>
    <w:rsid w:val="007751C1"/>
    <w:rsid w:val="00775332"/>
    <w:rsid w:val="00777A89"/>
    <w:rsid w:val="00780115"/>
    <w:rsid w:val="0078016B"/>
    <w:rsid w:val="007806B9"/>
    <w:rsid w:val="00783388"/>
    <w:rsid w:val="00783E8B"/>
    <w:rsid w:val="00785A63"/>
    <w:rsid w:val="00786388"/>
    <w:rsid w:val="0078640D"/>
    <w:rsid w:val="007866E6"/>
    <w:rsid w:val="0078675B"/>
    <w:rsid w:val="0078706E"/>
    <w:rsid w:val="007877A2"/>
    <w:rsid w:val="007925D5"/>
    <w:rsid w:val="0079295A"/>
    <w:rsid w:val="00792BC5"/>
    <w:rsid w:val="0079474A"/>
    <w:rsid w:val="00794CF4"/>
    <w:rsid w:val="00796A57"/>
    <w:rsid w:val="00796D03"/>
    <w:rsid w:val="007A0057"/>
    <w:rsid w:val="007A0AD4"/>
    <w:rsid w:val="007A16A1"/>
    <w:rsid w:val="007A1B75"/>
    <w:rsid w:val="007A5A8A"/>
    <w:rsid w:val="007A5E08"/>
    <w:rsid w:val="007A67C3"/>
    <w:rsid w:val="007A7670"/>
    <w:rsid w:val="007A7D3B"/>
    <w:rsid w:val="007B03E0"/>
    <w:rsid w:val="007B03E6"/>
    <w:rsid w:val="007B09E0"/>
    <w:rsid w:val="007B1DC5"/>
    <w:rsid w:val="007B1ECA"/>
    <w:rsid w:val="007B2651"/>
    <w:rsid w:val="007B3191"/>
    <w:rsid w:val="007B3CC4"/>
    <w:rsid w:val="007B4211"/>
    <w:rsid w:val="007B5111"/>
    <w:rsid w:val="007B6B6B"/>
    <w:rsid w:val="007C0138"/>
    <w:rsid w:val="007C0E5C"/>
    <w:rsid w:val="007C18E9"/>
    <w:rsid w:val="007C1F33"/>
    <w:rsid w:val="007C2263"/>
    <w:rsid w:val="007C3947"/>
    <w:rsid w:val="007C509B"/>
    <w:rsid w:val="007C54AF"/>
    <w:rsid w:val="007D0929"/>
    <w:rsid w:val="007D0CDB"/>
    <w:rsid w:val="007D2CF6"/>
    <w:rsid w:val="007D3F95"/>
    <w:rsid w:val="007D44C5"/>
    <w:rsid w:val="007D46D0"/>
    <w:rsid w:val="007D48D1"/>
    <w:rsid w:val="007D4BD5"/>
    <w:rsid w:val="007D5B71"/>
    <w:rsid w:val="007D676D"/>
    <w:rsid w:val="007D6926"/>
    <w:rsid w:val="007D6955"/>
    <w:rsid w:val="007D7144"/>
    <w:rsid w:val="007E1679"/>
    <w:rsid w:val="007E1899"/>
    <w:rsid w:val="007E193C"/>
    <w:rsid w:val="007E3AAD"/>
    <w:rsid w:val="007E3DC8"/>
    <w:rsid w:val="007E44A8"/>
    <w:rsid w:val="007E5314"/>
    <w:rsid w:val="007E544B"/>
    <w:rsid w:val="007E6A67"/>
    <w:rsid w:val="007E6D7E"/>
    <w:rsid w:val="007E7ABD"/>
    <w:rsid w:val="007F00A8"/>
    <w:rsid w:val="007F1799"/>
    <w:rsid w:val="007F3FCB"/>
    <w:rsid w:val="007F6655"/>
    <w:rsid w:val="007F71AE"/>
    <w:rsid w:val="00800002"/>
    <w:rsid w:val="0080081E"/>
    <w:rsid w:val="00800DCE"/>
    <w:rsid w:val="00801C13"/>
    <w:rsid w:val="00802018"/>
    <w:rsid w:val="008023A9"/>
    <w:rsid w:val="008026E8"/>
    <w:rsid w:val="008039B4"/>
    <w:rsid w:val="008044AB"/>
    <w:rsid w:val="0080580A"/>
    <w:rsid w:val="00810CBE"/>
    <w:rsid w:val="00810FB4"/>
    <w:rsid w:val="008112BF"/>
    <w:rsid w:val="00813155"/>
    <w:rsid w:val="00814B41"/>
    <w:rsid w:val="00814D19"/>
    <w:rsid w:val="008152F1"/>
    <w:rsid w:val="00815394"/>
    <w:rsid w:val="00816DF5"/>
    <w:rsid w:val="008174DD"/>
    <w:rsid w:val="00817596"/>
    <w:rsid w:val="0082157E"/>
    <w:rsid w:val="0082163F"/>
    <w:rsid w:val="00821719"/>
    <w:rsid w:val="00821AF9"/>
    <w:rsid w:val="00823778"/>
    <w:rsid w:val="00823F91"/>
    <w:rsid w:val="0082434F"/>
    <w:rsid w:val="0082500A"/>
    <w:rsid w:val="00826837"/>
    <w:rsid w:val="00827E06"/>
    <w:rsid w:val="008320D2"/>
    <w:rsid w:val="00833401"/>
    <w:rsid w:val="00835131"/>
    <w:rsid w:val="0083536B"/>
    <w:rsid w:val="008353E8"/>
    <w:rsid w:val="008356F6"/>
    <w:rsid w:val="008368F7"/>
    <w:rsid w:val="00836B5F"/>
    <w:rsid w:val="008376A0"/>
    <w:rsid w:val="00837A73"/>
    <w:rsid w:val="00840806"/>
    <w:rsid w:val="00840C96"/>
    <w:rsid w:val="008425A9"/>
    <w:rsid w:val="0084509B"/>
    <w:rsid w:val="0084599E"/>
    <w:rsid w:val="008459B6"/>
    <w:rsid w:val="008463C7"/>
    <w:rsid w:val="008464EC"/>
    <w:rsid w:val="00846D98"/>
    <w:rsid w:val="00847545"/>
    <w:rsid w:val="008479B9"/>
    <w:rsid w:val="00852B9F"/>
    <w:rsid w:val="00852CDB"/>
    <w:rsid w:val="0085361A"/>
    <w:rsid w:val="0085409D"/>
    <w:rsid w:val="00854310"/>
    <w:rsid w:val="0085462C"/>
    <w:rsid w:val="00855C06"/>
    <w:rsid w:val="00855D2A"/>
    <w:rsid w:val="0085663A"/>
    <w:rsid w:val="00856F99"/>
    <w:rsid w:val="00857BB8"/>
    <w:rsid w:val="00857BBF"/>
    <w:rsid w:val="0086112E"/>
    <w:rsid w:val="00861DCE"/>
    <w:rsid w:val="00862C24"/>
    <w:rsid w:val="00863834"/>
    <w:rsid w:val="00863866"/>
    <w:rsid w:val="00863DFE"/>
    <w:rsid w:val="008643FE"/>
    <w:rsid w:val="00865AC3"/>
    <w:rsid w:val="0086699B"/>
    <w:rsid w:val="00866E5A"/>
    <w:rsid w:val="0086709A"/>
    <w:rsid w:val="00867400"/>
    <w:rsid w:val="0086740D"/>
    <w:rsid w:val="00870000"/>
    <w:rsid w:val="00870694"/>
    <w:rsid w:val="00870C8D"/>
    <w:rsid w:val="00871E10"/>
    <w:rsid w:val="00872117"/>
    <w:rsid w:val="008721CC"/>
    <w:rsid w:val="00872D7F"/>
    <w:rsid w:val="008738A4"/>
    <w:rsid w:val="00874BBE"/>
    <w:rsid w:val="00875014"/>
    <w:rsid w:val="008757D6"/>
    <w:rsid w:val="00875873"/>
    <w:rsid w:val="00875FD0"/>
    <w:rsid w:val="00876AEE"/>
    <w:rsid w:val="00880563"/>
    <w:rsid w:val="00880D16"/>
    <w:rsid w:val="00881C6C"/>
    <w:rsid w:val="00881D85"/>
    <w:rsid w:val="0088266A"/>
    <w:rsid w:val="008838F6"/>
    <w:rsid w:val="00884248"/>
    <w:rsid w:val="00884253"/>
    <w:rsid w:val="008852D9"/>
    <w:rsid w:val="0088670F"/>
    <w:rsid w:val="00890E5D"/>
    <w:rsid w:val="0089106C"/>
    <w:rsid w:val="00891109"/>
    <w:rsid w:val="008912FB"/>
    <w:rsid w:val="0089550E"/>
    <w:rsid w:val="0089712A"/>
    <w:rsid w:val="00897F25"/>
    <w:rsid w:val="008A1C30"/>
    <w:rsid w:val="008A236D"/>
    <w:rsid w:val="008A29FB"/>
    <w:rsid w:val="008A2B69"/>
    <w:rsid w:val="008A2C09"/>
    <w:rsid w:val="008A3AF9"/>
    <w:rsid w:val="008A3E54"/>
    <w:rsid w:val="008A4C41"/>
    <w:rsid w:val="008A56AD"/>
    <w:rsid w:val="008A575C"/>
    <w:rsid w:val="008A61C1"/>
    <w:rsid w:val="008A7E59"/>
    <w:rsid w:val="008B00EA"/>
    <w:rsid w:val="008B079A"/>
    <w:rsid w:val="008B0C2C"/>
    <w:rsid w:val="008B2D4F"/>
    <w:rsid w:val="008B3819"/>
    <w:rsid w:val="008B40A6"/>
    <w:rsid w:val="008B7B94"/>
    <w:rsid w:val="008C0AAF"/>
    <w:rsid w:val="008C0F20"/>
    <w:rsid w:val="008C176E"/>
    <w:rsid w:val="008C17CA"/>
    <w:rsid w:val="008C19EB"/>
    <w:rsid w:val="008C3632"/>
    <w:rsid w:val="008C3D15"/>
    <w:rsid w:val="008C601D"/>
    <w:rsid w:val="008C6C96"/>
    <w:rsid w:val="008C7D33"/>
    <w:rsid w:val="008C7D69"/>
    <w:rsid w:val="008D08D7"/>
    <w:rsid w:val="008D0D50"/>
    <w:rsid w:val="008D0FE4"/>
    <w:rsid w:val="008D15A0"/>
    <w:rsid w:val="008D1ECE"/>
    <w:rsid w:val="008D1F9D"/>
    <w:rsid w:val="008D27C2"/>
    <w:rsid w:val="008D29D9"/>
    <w:rsid w:val="008D3ADD"/>
    <w:rsid w:val="008D4EFB"/>
    <w:rsid w:val="008D65E5"/>
    <w:rsid w:val="008D7C17"/>
    <w:rsid w:val="008E0AA1"/>
    <w:rsid w:val="008E252E"/>
    <w:rsid w:val="008E3410"/>
    <w:rsid w:val="008E34B2"/>
    <w:rsid w:val="008E41BA"/>
    <w:rsid w:val="008E6D40"/>
    <w:rsid w:val="008E7634"/>
    <w:rsid w:val="008F324D"/>
    <w:rsid w:val="008F34FC"/>
    <w:rsid w:val="008F4E42"/>
    <w:rsid w:val="008F56C3"/>
    <w:rsid w:val="009004FA"/>
    <w:rsid w:val="0090161B"/>
    <w:rsid w:val="00902A6E"/>
    <w:rsid w:val="00902EA3"/>
    <w:rsid w:val="009037EB"/>
    <w:rsid w:val="00904045"/>
    <w:rsid w:val="009045E5"/>
    <w:rsid w:val="00904E81"/>
    <w:rsid w:val="00906269"/>
    <w:rsid w:val="0090636D"/>
    <w:rsid w:val="0090643A"/>
    <w:rsid w:val="00907F7B"/>
    <w:rsid w:val="009128F0"/>
    <w:rsid w:val="00915F20"/>
    <w:rsid w:val="009160A7"/>
    <w:rsid w:val="009160B4"/>
    <w:rsid w:val="009163AA"/>
    <w:rsid w:val="00916620"/>
    <w:rsid w:val="009166A3"/>
    <w:rsid w:val="0091692C"/>
    <w:rsid w:val="009171FE"/>
    <w:rsid w:val="00920909"/>
    <w:rsid w:val="00920FC5"/>
    <w:rsid w:val="009212F6"/>
    <w:rsid w:val="00921A25"/>
    <w:rsid w:val="00924B89"/>
    <w:rsid w:val="00924CEB"/>
    <w:rsid w:val="009264E2"/>
    <w:rsid w:val="009267F5"/>
    <w:rsid w:val="0092696F"/>
    <w:rsid w:val="0093380B"/>
    <w:rsid w:val="00934311"/>
    <w:rsid w:val="00934425"/>
    <w:rsid w:val="0093544D"/>
    <w:rsid w:val="0093712F"/>
    <w:rsid w:val="00937354"/>
    <w:rsid w:val="00940207"/>
    <w:rsid w:val="00940F5E"/>
    <w:rsid w:val="00941348"/>
    <w:rsid w:val="009413E8"/>
    <w:rsid w:val="00941E33"/>
    <w:rsid w:val="00942202"/>
    <w:rsid w:val="00942EFB"/>
    <w:rsid w:val="009449C2"/>
    <w:rsid w:val="00944D31"/>
    <w:rsid w:val="0094745C"/>
    <w:rsid w:val="00947B13"/>
    <w:rsid w:val="0095068A"/>
    <w:rsid w:val="00952A62"/>
    <w:rsid w:val="00952A78"/>
    <w:rsid w:val="00952B60"/>
    <w:rsid w:val="00954934"/>
    <w:rsid w:val="009549FA"/>
    <w:rsid w:val="00955A49"/>
    <w:rsid w:val="00962474"/>
    <w:rsid w:val="0096266D"/>
    <w:rsid w:val="00963873"/>
    <w:rsid w:val="00963F4A"/>
    <w:rsid w:val="00963FA0"/>
    <w:rsid w:val="00964216"/>
    <w:rsid w:val="0096747E"/>
    <w:rsid w:val="00970406"/>
    <w:rsid w:val="00970565"/>
    <w:rsid w:val="00970DC6"/>
    <w:rsid w:val="00971C68"/>
    <w:rsid w:val="00972C34"/>
    <w:rsid w:val="00974505"/>
    <w:rsid w:val="00974A00"/>
    <w:rsid w:val="009757B8"/>
    <w:rsid w:val="009758D9"/>
    <w:rsid w:val="009769A8"/>
    <w:rsid w:val="0097741E"/>
    <w:rsid w:val="00977505"/>
    <w:rsid w:val="00977A0F"/>
    <w:rsid w:val="00977BC6"/>
    <w:rsid w:val="00980AB5"/>
    <w:rsid w:val="00980B7E"/>
    <w:rsid w:val="00981F46"/>
    <w:rsid w:val="00982819"/>
    <w:rsid w:val="009830F0"/>
    <w:rsid w:val="0098336C"/>
    <w:rsid w:val="00983D8F"/>
    <w:rsid w:val="0098513E"/>
    <w:rsid w:val="00985E6E"/>
    <w:rsid w:val="00987628"/>
    <w:rsid w:val="009909B6"/>
    <w:rsid w:val="00991900"/>
    <w:rsid w:val="009925B4"/>
    <w:rsid w:val="00992C6D"/>
    <w:rsid w:val="009934CE"/>
    <w:rsid w:val="00995FE2"/>
    <w:rsid w:val="009962BE"/>
    <w:rsid w:val="00996F99"/>
    <w:rsid w:val="009975D8"/>
    <w:rsid w:val="009A023B"/>
    <w:rsid w:val="009A1068"/>
    <w:rsid w:val="009A1F3A"/>
    <w:rsid w:val="009A325A"/>
    <w:rsid w:val="009A36BE"/>
    <w:rsid w:val="009A39E5"/>
    <w:rsid w:val="009A3D32"/>
    <w:rsid w:val="009A4576"/>
    <w:rsid w:val="009A5E23"/>
    <w:rsid w:val="009A7392"/>
    <w:rsid w:val="009A78D4"/>
    <w:rsid w:val="009A7C91"/>
    <w:rsid w:val="009A7F8A"/>
    <w:rsid w:val="009B04AC"/>
    <w:rsid w:val="009B24DB"/>
    <w:rsid w:val="009B2505"/>
    <w:rsid w:val="009B30CD"/>
    <w:rsid w:val="009B4300"/>
    <w:rsid w:val="009B591F"/>
    <w:rsid w:val="009B615E"/>
    <w:rsid w:val="009B7834"/>
    <w:rsid w:val="009B7961"/>
    <w:rsid w:val="009C0082"/>
    <w:rsid w:val="009C2323"/>
    <w:rsid w:val="009C29EA"/>
    <w:rsid w:val="009C3D1A"/>
    <w:rsid w:val="009C4AB4"/>
    <w:rsid w:val="009C5D0B"/>
    <w:rsid w:val="009C630E"/>
    <w:rsid w:val="009C68C9"/>
    <w:rsid w:val="009D6121"/>
    <w:rsid w:val="009D69FC"/>
    <w:rsid w:val="009E17E4"/>
    <w:rsid w:val="009E1EF9"/>
    <w:rsid w:val="009E54FB"/>
    <w:rsid w:val="009E67E6"/>
    <w:rsid w:val="009E6E34"/>
    <w:rsid w:val="009E74BD"/>
    <w:rsid w:val="009E7C1A"/>
    <w:rsid w:val="009F0358"/>
    <w:rsid w:val="009F0850"/>
    <w:rsid w:val="009F0F25"/>
    <w:rsid w:val="009F2DF6"/>
    <w:rsid w:val="009F2F61"/>
    <w:rsid w:val="009F3466"/>
    <w:rsid w:val="009F415F"/>
    <w:rsid w:val="009F4BC5"/>
    <w:rsid w:val="009F7AB6"/>
    <w:rsid w:val="00A008E9"/>
    <w:rsid w:val="00A0182E"/>
    <w:rsid w:val="00A01C38"/>
    <w:rsid w:val="00A02E1E"/>
    <w:rsid w:val="00A032D8"/>
    <w:rsid w:val="00A03EB0"/>
    <w:rsid w:val="00A0406D"/>
    <w:rsid w:val="00A05983"/>
    <w:rsid w:val="00A06137"/>
    <w:rsid w:val="00A06F5B"/>
    <w:rsid w:val="00A10A94"/>
    <w:rsid w:val="00A113F6"/>
    <w:rsid w:val="00A11B13"/>
    <w:rsid w:val="00A12964"/>
    <w:rsid w:val="00A13825"/>
    <w:rsid w:val="00A152AD"/>
    <w:rsid w:val="00A16557"/>
    <w:rsid w:val="00A17383"/>
    <w:rsid w:val="00A17719"/>
    <w:rsid w:val="00A1773B"/>
    <w:rsid w:val="00A17D18"/>
    <w:rsid w:val="00A204A4"/>
    <w:rsid w:val="00A211A9"/>
    <w:rsid w:val="00A21C0C"/>
    <w:rsid w:val="00A2500D"/>
    <w:rsid w:val="00A27FB7"/>
    <w:rsid w:val="00A30AAF"/>
    <w:rsid w:val="00A31532"/>
    <w:rsid w:val="00A33BD0"/>
    <w:rsid w:val="00A340CC"/>
    <w:rsid w:val="00A341B6"/>
    <w:rsid w:val="00A35951"/>
    <w:rsid w:val="00A368E0"/>
    <w:rsid w:val="00A36918"/>
    <w:rsid w:val="00A36F50"/>
    <w:rsid w:val="00A378C0"/>
    <w:rsid w:val="00A404A4"/>
    <w:rsid w:val="00A41741"/>
    <w:rsid w:val="00A41962"/>
    <w:rsid w:val="00A422AB"/>
    <w:rsid w:val="00A438F8"/>
    <w:rsid w:val="00A440FF"/>
    <w:rsid w:val="00A454AF"/>
    <w:rsid w:val="00A461AF"/>
    <w:rsid w:val="00A47E70"/>
    <w:rsid w:val="00A47EC0"/>
    <w:rsid w:val="00A502F3"/>
    <w:rsid w:val="00A50633"/>
    <w:rsid w:val="00A50E68"/>
    <w:rsid w:val="00A51407"/>
    <w:rsid w:val="00A51745"/>
    <w:rsid w:val="00A5265B"/>
    <w:rsid w:val="00A534C3"/>
    <w:rsid w:val="00A535D5"/>
    <w:rsid w:val="00A53716"/>
    <w:rsid w:val="00A53F9D"/>
    <w:rsid w:val="00A607E5"/>
    <w:rsid w:val="00A6080F"/>
    <w:rsid w:val="00A60E07"/>
    <w:rsid w:val="00A61BC8"/>
    <w:rsid w:val="00A6293E"/>
    <w:rsid w:val="00A62F41"/>
    <w:rsid w:val="00A63315"/>
    <w:rsid w:val="00A650AE"/>
    <w:rsid w:val="00A6665E"/>
    <w:rsid w:val="00A66B8E"/>
    <w:rsid w:val="00A670F9"/>
    <w:rsid w:val="00A673D8"/>
    <w:rsid w:val="00A70663"/>
    <w:rsid w:val="00A706AA"/>
    <w:rsid w:val="00A714FD"/>
    <w:rsid w:val="00A72156"/>
    <w:rsid w:val="00A723BD"/>
    <w:rsid w:val="00A7253D"/>
    <w:rsid w:val="00A7373D"/>
    <w:rsid w:val="00A73BE5"/>
    <w:rsid w:val="00A74A41"/>
    <w:rsid w:val="00A75532"/>
    <w:rsid w:val="00A776F1"/>
    <w:rsid w:val="00A77E15"/>
    <w:rsid w:val="00A77F4A"/>
    <w:rsid w:val="00A80195"/>
    <w:rsid w:val="00A803E9"/>
    <w:rsid w:val="00A80B6B"/>
    <w:rsid w:val="00A81587"/>
    <w:rsid w:val="00A82961"/>
    <w:rsid w:val="00A838D7"/>
    <w:rsid w:val="00A84EC7"/>
    <w:rsid w:val="00A85CB3"/>
    <w:rsid w:val="00A86973"/>
    <w:rsid w:val="00A87897"/>
    <w:rsid w:val="00A91ED0"/>
    <w:rsid w:val="00A9433C"/>
    <w:rsid w:val="00A97BCF"/>
    <w:rsid w:val="00A97D90"/>
    <w:rsid w:val="00AA103F"/>
    <w:rsid w:val="00AA125C"/>
    <w:rsid w:val="00AA4576"/>
    <w:rsid w:val="00AA4E25"/>
    <w:rsid w:val="00AA5E29"/>
    <w:rsid w:val="00AA5F15"/>
    <w:rsid w:val="00AA6720"/>
    <w:rsid w:val="00AA6F92"/>
    <w:rsid w:val="00AB0E8B"/>
    <w:rsid w:val="00AB326F"/>
    <w:rsid w:val="00AB42B9"/>
    <w:rsid w:val="00AB44C1"/>
    <w:rsid w:val="00AB507B"/>
    <w:rsid w:val="00AB5183"/>
    <w:rsid w:val="00AB5566"/>
    <w:rsid w:val="00AB576A"/>
    <w:rsid w:val="00AB68AB"/>
    <w:rsid w:val="00AB6CD5"/>
    <w:rsid w:val="00AC2282"/>
    <w:rsid w:val="00AC3077"/>
    <w:rsid w:val="00AC4127"/>
    <w:rsid w:val="00AD01D6"/>
    <w:rsid w:val="00AD16C1"/>
    <w:rsid w:val="00AD255B"/>
    <w:rsid w:val="00AD26F9"/>
    <w:rsid w:val="00AD2DD9"/>
    <w:rsid w:val="00AD37F9"/>
    <w:rsid w:val="00AD3B0C"/>
    <w:rsid w:val="00AD496A"/>
    <w:rsid w:val="00AD6161"/>
    <w:rsid w:val="00AD787E"/>
    <w:rsid w:val="00AE1896"/>
    <w:rsid w:val="00AE1BDC"/>
    <w:rsid w:val="00AE4BED"/>
    <w:rsid w:val="00AE4D1B"/>
    <w:rsid w:val="00AE5DC5"/>
    <w:rsid w:val="00AE667A"/>
    <w:rsid w:val="00AE6762"/>
    <w:rsid w:val="00AF0351"/>
    <w:rsid w:val="00AF0E3D"/>
    <w:rsid w:val="00AF1979"/>
    <w:rsid w:val="00AF2878"/>
    <w:rsid w:val="00AF2B75"/>
    <w:rsid w:val="00AF3D24"/>
    <w:rsid w:val="00AF471F"/>
    <w:rsid w:val="00AF494E"/>
    <w:rsid w:val="00AF50EA"/>
    <w:rsid w:val="00AF6151"/>
    <w:rsid w:val="00B0163D"/>
    <w:rsid w:val="00B01E8D"/>
    <w:rsid w:val="00B02134"/>
    <w:rsid w:val="00B030F1"/>
    <w:rsid w:val="00B03DEE"/>
    <w:rsid w:val="00B05386"/>
    <w:rsid w:val="00B11673"/>
    <w:rsid w:val="00B119C4"/>
    <w:rsid w:val="00B13595"/>
    <w:rsid w:val="00B1360E"/>
    <w:rsid w:val="00B13E5B"/>
    <w:rsid w:val="00B140C0"/>
    <w:rsid w:val="00B15AA1"/>
    <w:rsid w:val="00B175B3"/>
    <w:rsid w:val="00B17720"/>
    <w:rsid w:val="00B178A3"/>
    <w:rsid w:val="00B17964"/>
    <w:rsid w:val="00B17B95"/>
    <w:rsid w:val="00B17DE5"/>
    <w:rsid w:val="00B17FDA"/>
    <w:rsid w:val="00B2032B"/>
    <w:rsid w:val="00B21A0B"/>
    <w:rsid w:val="00B22141"/>
    <w:rsid w:val="00B22803"/>
    <w:rsid w:val="00B24924"/>
    <w:rsid w:val="00B24E70"/>
    <w:rsid w:val="00B25003"/>
    <w:rsid w:val="00B26E65"/>
    <w:rsid w:val="00B27D73"/>
    <w:rsid w:val="00B30B81"/>
    <w:rsid w:val="00B30D0D"/>
    <w:rsid w:val="00B3357E"/>
    <w:rsid w:val="00B33E28"/>
    <w:rsid w:val="00B34099"/>
    <w:rsid w:val="00B36B43"/>
    <w:rsid w:val="00B36D6F"/>
    <w:rsid w:val="00B36D71"/>
    <w:rsid w:val="00B36F5A"/>
    <w:rsid w:val="00B36F73"/>
    <w:rsid w:val="00B4096C"/>
    <w:rsid w:val="00B4173E"/>
    <w:rsid w:val="00B41834"/>
    <w:rsid w:val="00B41AE9"/>
    <w:rsid w:val="00B45F31"/>
    <w:rsid w:val="00B45F41"/>
    <w:rsid w:val="00B46C86"/>
    <w:rsid w:val="00B46E85"/>
    <w:rsid w:val="00B46ED0"/>
    <w:rsid w:val="00B47AEE"/>
    <w:rsid w:val="00B47CD3"/>
    <w:rsid w:val="00B50777"/>
    <w:rsid w:val="00B50A64"/>
    <w:rsid w:val="00B5326F"/>
    <w:rsid w:val="00B53364"/>
    <w:rsid w:val="00B54F49"/>
    <w:rsid w:val="00B56342"/>
    <w:rsid w:val="00B5649F"/>
    <w:rsid w:val="00B568FB"/>
    <w:rsid w:val="00B56A76"/>
    <w:rsid w:val="00B57BF7"/>
    <w:rsid w:val="00B60370"/>
    <w:rsid w:val="00B60902"/>
    <w:rsid w:val="00B613DA"/>
    <w:rsid w:val="00B623F5"/>
    <w:rsid w:val="00B643F1"/>
    <w:rsid w:val="00B645E6"/>
    <w:rsid w:val="00B654DB"/>
    <w:rsid w:val="00B659DF"/>
    <w:rsid w:val="00B66CDD"/>
    <w:rsid w:val="00B67AA8"/>
    <w:rsid w:val="00B67AC3"/>
    <w:rsid w:val="00B67FB7"/>
    <w:rsid w:val="00B7068B"/>
    <w:rsid w:val="00B706AF"/>
    <w:rsid w:val="00B707E0"/>
    <w:rsid w:val="00B70CF4"/>
    <w:rsid w:val="00B7153A"/>
    <w:rsid w:val="00B7175A"/>
    <w:rsid w:val="00B719FD"/>
    <w:rsid w:val="00B7489A"/>
    <w:rsid w:val="00B77E42"/>
    <w:rsid w:val="00B80F2D"/>
    <w:rsid w:val="00B8134D"/>
    <w:rsid w:val="00B82CBD"/>
    <w:rsid w:val="00B82D04"/>
    <w:rsid w:val="00B83A63"/>
    <w:rsid w:val="00B84195"/>
    <w:rsid w:val="00B84ACA"/>
    <w:rsid w:val="00B87005"/>
    <w:rsid w:val="00B87E54"/>
    <w:rsid w:val="00B90A4D"/>
    <w:rsid w:val="00B916D5"/>
    <w:rsid w:val="00B932FF"/>
    <w:rsid w:val="00B944C8"/>
    <w:rsid w:val="00B944E7"/>
    <w:rsid w:val="00B94DE3"/>
    <w:rsid w:val="00B95491"/>
    <w:rsid w:val="00B9733F"/>
    <w:rsid w:val="00B9781D"/>
    <w:rsid w:val="00BA0CBE"/>
    <w:rsid w:val="00BA2BB1"/>
    <w:rsid w:val="00BA2E89"/>
    <w:rsid w:val="00BA557F"/>
    <w:rsid w:val="00BA5C7E"/>
    <w:rsid w:val="00BA5EA9"/>
    <w:rsid w:val="00BA63EB"/>
    <w:rsid w:val="00BA67FA"/>
    <w:rsid w:val="00BA6DA9"/>
    <w:rsid w:val="00BA6EFB"/>
    <w:rsid w:val="00BA7219"/>
    <w:rsid w:val="00BB1AEC"/>
    <w:rsid w:val="00BB1FF2"/>
    <w:rsid w:val="00BB2D25"/>
    <w:rsid w:val="00BB303F"/>
    <w:rsid w:val="00BB47C3"/>
    <w:rsid w:val="00BB565E"/>
    <w:rsid w:val="00BB6880"/>
    <w:rsid w:val="00BC012F"/>
    <w:rsid w:val="00BC031A"/>
    <w:rsid w:val="00BC0481"/>
    <w:rsid w:val="00BC1F3F"/>
    <w:rsid w:val="00BC2DEF"/>
    <w:rsid w:val="00BC4A3D"/>
    <w:rsid w:val="00BC4E55"/>
    <w:rsid w:val="00BC5CB7"/>
    <w:rsid w:val="00BC6F66"/>
    <w:rsid w:val="00BC7A93"/>
    <w:rsid w:val="00BD082D"/>
    <w:rsid w:val="00BD145C"/>
    <w:rsid w:val="00BD170A"/>
    <w:rsid w:val="00BD1DBD"/>
    <w:rsid w:val="00BD4037"/>
    <w:rsid w:val="00BD6BBC"/>
    <w:rsid w:val="00BD6F2A"/>
    <w:rsid w:val="00BD73DA"/>
    <w:rsid w:val="00BE051F"/>
    <w:rsid w:val="00BE0E30"/>
    <w:rsid w:val="00BE33C2"/>
    <w:rsid w:val="00BE3469"/>
    <w:rsid w:val="00BE3E52"/>
    <w:rsid w:val="00BE4333"/>
    <w:rsid w:val="00BE57AB"/>
    <w:rsid w:val="00BF06D8"/>
    <w:rsid w:val="00BF0DA1"/>
    <w:rsid w:val="00BF12EA"/>
    <w:rsid w:val="00BF1430"/>
    <w:rsid w:val="00BF482B"/>
    <w:rsid w:val="00BF54D7"/>
    <w:rsid w:val="00BF59D1"/>
    <w:rsid w:val="00BF59E7"/>
    <w:rsid w:val="00BF65D7"/>
    <w:rsid w:val="00BF68CC"/>
    <w:rsid w:val="00BF70AB"/>
    <w:rsid w:val="00C02B6C"/>
    <w:rsid w:val="00C05E1B"/>
    <w:rsid w:val="00C05ED6"/>
    <w:rsid w:val="00C068F4"/>
    <w:rsid w:val="00C0765B"/>
    <w:rsid w:val="00C103D6"/>
    <w:rsid w:val="00C11279"/>
    <w:rsid w:val="00C112D0"/>
    <w:rsid w:val="00C13EE6"/>
    <w:rsid w:val="00C141C1"/>
    <w:rsid w:val="00C147A0"/>
    <w:rsid w:val="00C16CD7"/>
    <w:rsid w:val="00C16D83"/>
    <w:rsid w:val="00C21FA7"/>
    <w:rsid w:val="00C2366E"/>
    <w:rsid w:val="00C23B32"/>
    <w:rsid w:val="00C23BD0"/>
    <w:rsid w:val="00C23C02"/>
    <w:rsid w:val="00C25ACD"/>
    <w:rsid w:val="00C26191"/>
    <w:rsid w:val="00C2658C"/>
    <w:rsid w:val="00C27FF7"/>
    <w:rsid w:val="00C33AD2"/>
    <w:rsid w:val="00C33DA3"/>
    <w:rsid w:val="00C34EA0"/>
    <w:rsid w:val="00C35948"/>
    <w:rsid w:val="00C35ACD"/>
    <w:rsid w:val="00C35DFB"/>
    <w:rsid w:val="00C360E4"/>
    <w:rsid w:val="00C36839"/>
    <w:rsid w:val="00C378DC"/>
    <w:rsid w:val="00C40BA2"/>
    <w:rsid w:val="00C42FA9"/>
    <w:rsid w:val="00C43E7C"/>
    <w:rsid w:val="00C479FB"/>
    <w:rsid w:val="00C50F17"/>
    <w:rsid w:val="00C513B9"/>
    <w:rsid w:val="00C51894"/>
    <w:rsid w:val="00C53A7C"/>
    <w:rsid w:val="00C54513"/>
    <w:rsid w:val="00C54CFD"/>
    <w:rsid w:val="00C56211"/>
    <w:rsid w:val="00C5634B"/>
    <w:rsid w:val="00C5670C"/>
    <w:rsid w:val="00C56893"/>
    <w:rsid w:val="00C61340"/>
    <w:rsid w:val="00C615CC"/>
    <w:rsid w:val="00C6161A"/>
    <w:rsid w:val="00C62F50"/>
    <w:rsid w:val="00C63D90"/>
    <w:rsid w:val="00C64655"/>
    <w:rsid w:val="00C64892"/>
    <w:rsid w:val="00C65467"/>
    <w:rsid w:val="00C657D5"/>
    <w:rsid w:val="00C663A7"/>
    <w:rsid w:val="00C6703E"/>
    <w:rsid w:val="00C672F5"/>
    <w:rsid w:val="00C736DB"/>
    <w:rsid w:val="00C7398E"/>
    <w:rsid w:val="00C7436C"/>
    <w:rsid w:val="00C74533"/>
    <w:rsid w:val="00C75258"/>
    <w:rsid w:val="00C8037E"/>
    <w:rsid w:val="00C80B41"/>
    <w:rsid w:val="00C80B7C"/>
    <w:rsid w:val="00C815A3"/>
    <w:rsid w:val="00C831B3"/>
    <w:rsid w:val="00C8368A"/>
    <w:rsid w:val="00C837F7"/>
    <w:rsid w:val="00C847DB"/>
    <w:rsid w:val="00C8578B"/>
    <w:rsid w:val="00C8723D"/>
    <w:rsid w:val="00C875CA"/>
    <w:rsid w:val="00C87952"/>
    <w:rsid w:val="00C93CF5"/>
    <w:rsid w:val="00C94F55"/>
    <w:rsid w:val="00C9652A"/>
    <w:rsid w:val="00C967AB"/>
    <w:rsid w:val="00C96892"/>
    <w:rsid w:val="00C969B4"/>
    <w:rsid w:val="00C974A9"/>
    <w:rsid w:val="00CA0224"/>
    <w:rsid w:val="00CA0653"/>
    <w:rsid w:val="00CA0F31"/>
    <w:rsid w:val="00CA1BCB"/>
    <w:rsid w:val="00CA27B7"/>
    <w:rsid w:val="00CA334B"/>
    <w:rsid w:val="00CA567C"/>
    <w:rsid w:val="00CA6FA1"/>
    <w:rsid w:val="00CA75CA"/>
    <w:rsid w:val="00CA7C02"/>
    <w:rsid w:val="00CB1737"/>
    <w:rsid w:val="00CB1F49"/>
    <w:rsid w:val="00CB2BB3"/>
    <w:rsid w:val="00CB2C1F"/>
    <w:rsid w:val="00CB2FC3"/>
    <w:rsid w:val="00CB4FAE"/>
    <w:rsid w:val="00CB60D8"/>
    <w:rsid w:val="00CC01BC"/>
    <w:rsid w:val="00CC09A0"/>
    <w:rsid w:val="00CC0C12"/>
    <w:rsid w:val="00CC1E7A"/>
    <w:rsid w:val="00CC2001"/>
    <w:rsid w:val="00CC5226"/>
    <w:rsid w:val="00CC5ABB"/>
    <w:rsid w:val="00CC6785"/>
    <w:rsid w:val="00CC6E3E"/>
    <w:rsid w:val="00CC7320"/>
    <w:rsid w:val="00CD0238"/>
    <w:rsid w:val="00CD21C8"/>
    <w:rsid w:val="00CD490E"/>
    <w:rsid w:val="00CD5C1A"/>
    <w:rsid w:val="00CD6E23"/>
    <w:rsid w:val="00CD7D3C"/>
    <w:rsid w:val="00CE0FD5"/>
    <w:rsid w:val="00CE409D"/>
    <w:rsid w:val="00CE4860"/>
    <w:rsid w:val="00CE4C16"/>
    <w:rsid w:val="00CE68E9"/>
    <w:rsid w:val="00CE7241"/>
    <w:rsid w:val="00CF00DB"/>
    <w:rsid w:val="00CF1A8F"/>
    <w:rsid w:val="00CF3C55"/>
    <w:rsid w:val="00CF41B3"/>
    <w:rsid w:val="00CF50DF"/>
    <w:rsid w:val="00CF511E"/>
    <w:rsid w:val="00CF5C28"/>
    <w:rsid w:val="00CF7623"/>
    <w:rsid w:val="00CF79A2"/>
    <w:rsid w:val="00D00C0A"/>
    <w:rsid w:val="00D028B8"/>
    <w:rsid w:val="00D02F45"/>
    <w:rsid w:val="00D0363D"/>
    <w:rsid w:val="00D03E5C"/>
    <w:rsid w:val="00D07419"/>
    <w:rsid w:val="00D118CE"/>
    <w:rsid w:val="00D11E2F"/>
    <w:rsid w:val="00D12FFF"/>
    <w:rsid w:val="00D1423B"/>
    <w:rsid w:val="00D21632"/>
    <w:rsid w:val="00D21937"/>
    <w:rsid w:val="00D24109"/>
    <w:rsid w:val="00D244E8"/>
    <w:rsid w:val="00D245FD"/>
    <w:rsid w:val="00D2470E"/>
    <w:rsid w:val="00D259DA"/>
    <w:rsid w:val="00D26722"/>
    <w:rsid w:val="00D2771D"/>
    <w:rsid w:val="00D27885"/>
    <w:rsid w:val="00D3075C"/>
    <w:rsid w:val="00D30D45"/>
    <w:rsid w:val="00D313D8"/>
    <w:rsid w:val="00D361F3"/>
    <w:rsid w:val="00D36BC7"/>
    <w:rsid w:val="00D36C82"/>
    <w:rsid w:val="00D376D3"/>
    <w:rsid w:val="00D4096D"/>
    <w:rsid w:val="00D41517"/>
    <w:rsid w:val="00D430D8"/>
    <w:rsid w:val="00D432F4"/>
    <w:rsid w:val="00D43952"/>
    <w:rsid w:val="00D44860"/>
    <w:rsid w:val="00D45A2B"/>
    <w:rsid w:val="00D462E2"/>
    <w:rsid w:val="00D4642F"/>
    <w:rsid w:val="00D4662E"/>
    <w:rsid w:val="00D46BF6"/>
    <w:rsid w:val="00D50B6A"/>
    <w:rsid w:val="00D51866"/>
    <w:rsid w:val="00D51AFC"/>
    <w:rsid w:val="00D52C1D"/>
    <w:rsid w:val="00D5343F"/>
    <w:rsid w:val="00D53536"/>
    <w:rsid w:val="00D53A82"/>
    <w:rsid w:val="00D55074"/>
    <w:rsid w:val="00D55C6D"/>
    <w:rsid w:val="00D56034"/>
    <w:rsid w:val="00D57172"/>
    <w:rsid w:val="00D61701"/>
    <w:rsid w:val="00D641E3"/>
    <w:rsid w:val="00D644BC"/>
    <w:rsid w:val="00D701D4"/>
    <w:rsid w:val="00D71327"/>
    <w:rsid w:val="00D7153C"/>
    <w:rsid w:val="00D71544"/>
    <w:rsid w:val="00D72150"/>
    <w:rsid w:val="00D72A94"/>
    <w:rsid w:val="00D73195"/>
    <w:rsid w:val="00D74092"/>
    <w:rsid w:val="00D74F8E"/>
    <w:rsid w:val="00D7596A"/>
    <w:rsid w:val="00D76B29"/>
    <w:rsid w:val="00D76E69"/>
    <w:rsid w:val="00D7765A"/>
    <w:rsid w:val="00D800A5"/>
    <w:rsid w:val="00D81519"/>
    <w:rsid w:val="00D82A12"/>
    <w:rsid w:val="00D837EE"/>
    <w:rsid w:val="00D859F8"/>
    <w:rsid w:val="00D91C56"/>
    <w:rsid w:val="00D92773"/>
    <w:rsid w:val="00D92861"/>
    <w:rsid w:val="00D93C72"/>
    <w:rsid w:val="00D95338"/>
    <w:rsid w:val="00D95B1D"/>
    <w:rsid w:val="00D95E58"/>
    <w:rsid w:val="00D9672B"/>
    <w:rsid w:val="00D96C32"/>
    <w:rsid w:val="00D96C85"/>
    <w:rsid w:val="00DA3EFD"/>
    <w:rsid w:val="00DA4137"/>
    <w:rsid w:val="00DA7D8B"/>
    <w:rsid w:val="00DB024D"/>
    <w:rsid w:val="00DB09D2"/>
    <w:rsid w:val="00DB33D9"/>
    <w:rsid w:val="00DB56AA"/>
    <w:rsid w:val="00DB63D8"/>
    <w:rsid w:val="00DC0345"/>
    <w:rsid w:val="00DC12AC"/>
    <w:rsid w:val="00DC1412"/>
    <w:rsid w:val="00DC1886"/>
    <w:rsid w:val="00DC39F5"/>
    <w:rsid w:val="00DC662C"/>
    <w:rsid w:val="00DC7DB7"/>
    <w:rsid w:val="00DD0396"/>
    <w:rsid w:val="00DD0BFC"/>
    <w:rsid w:val="00DD1134"/>
    <w:rsid w:val="00DD1560"/>
    <w:rsid w:val="00DD22CB"/>
    <w:rsid w:val="00DD2591"/>
    <w:rsid w:val="00DD34A5"/>
    <w:rsid w:val="00DD374B"/>
    <w:rsid w:val="00DD5058"/>
    <w:rsid w:val="00DD566E"/>
    <w:rsid w:val="00DE0B2D"/>
    <w:rsid w:val="00DE0DA1"/>
    <w:rsid w:val="00DE1AA4"/>
    <w:rsid w:val="00DE33BD"/>
    <w:rsid w:val="00DE3B84"/>
    <w:rsid w:val="00DE425A"/>
    <w:rsid w:val="00DE537B"/>
    <w:rsid w:val="00DE5BAA"/>
    <w:rsid w:val="00DE5E4E"/>
    <w:rsid w:val="00DF0AAC"/>
    <w:rsid w:val="00DF2B27"/>
    <w:rsid w:val="00DF5289"/>
    <w:rsid w:val="00DF6010"/>
    <w:rsid w:val="00DF635E"/>
    <w:rsid w:val="00E002E0"/>
    <w:rsid w:val="00E00BB6"/>
    <w:rsid w:val="00E032C0"/>
    <w:rsid w:val="00E04E62"/>
    <w:rsid w:val="00E05839"/>
    <w:rsid w:val="00E06F72"/>
    <w:rsid w:val="00E07DF0"/>
    <w:rsid w:val="00E1055F"/>
    <w:rsid w:val="00E111E6"/>
    <w:rsid w:val="00E11CA6"/>
    <w:rsid w:val="00E12C1E"/>
    <w:rsid w:val="00E141C4"/>
    <w:rsid w:val="00E15642"/>
    <w:rsid w:val="00E16ACF"/>
    <w:rsid w:val="00E176B1"/>
    <w:rsid w:val="00E20BEB"/>
    <w:rsid w:val="00E234CE"/>
    <w:rsid w:val="00E24649"/>
    <w:rsid w:val="00E246B1"/>
    <w:rsid w:val="00E2588E"/>
    <w:rsid w:val="00E25C40"/>
    <w:rsid w:val="00E265FB"/>
    <w:rsid w:val="00E267BD"/>
    <w:rsid w:val="00E26FDF"/>
    <w:rsid w:val="00E27301"/>
    <w:rsid w:val="00E317B1"/>
    <w:rsid w:val="00E32F47"/>
    <w:rsid w:val="00E33AFC"/>
    <w:rsid w:val="00E3543B"/>
    <w:rsid w:val="00E356C4"/>
    <w:rsid w:val="00E359AD"/>
    <w:rsid w:val="00E36F2D"/>
    <w:rsid w:val="00E402B5"/>
    <w:rsid w:val="00E405D8"/>
    <w:rsid w:val="00E40B03"/>
    <w:rsid w:val="00E41FAD"/>
    <w:rsid w:val="00E45CF0"/>
    <w:rsid w:val="00E461C5"/>
    <w:rsid w:val="00E462C4"/>
    <w:rsid w:val="00E463C9"/>
    <w:rsid w:val="00E46A74"/>
    <w:rsid w:val="00E46FFF"/>
    <w:rsid w:val="00E51D51"/>
    <w:rsid w:val="00E52391"/>
    <w:rsid w:val="00E53546"/>
    <w:rsid w:val="00E55728"/>
    <w:rsid w:val="00E612A5"/>
    <w:rsid w:val="00E63324"/>
    <w:rsid w:val="00E6351B"/>
    <w:rsid w:val="00E6633A"/>
    <w:rsid w:val="00E6637A"/>
    <w:rsid w:val="00E669B3"/>
    <w:rsid w:val="00E675A8"/>
    <w:rsid w:val="00E67C5E"/>
    <w:rsid w:val="00E70851"/>
    <w:rsid w:val="00E70CA6"/>
    <w:rsid w:val="00E70F31"/>
    <w:rsid w:val="00E70F6B"/>
    <w:rsid w:val="00E70F8B"/>
    <w:rsid w:val="00E72120"/>
    <w:rsid w:val="00E7225F"/>
    <w:rsid w:val="00E72EC4"/>
    <w:rsid w:val="00E73238"/>
    <w:rsid w:val="00E739DC"/>
    <w:rsid w:val="00E73EEB"/>
    <w:rsid w:val="00E74538"/>
    <w:rsid w:val="00E7484C"/>
    <w:rsid w:val="00E74FAD"/>
    <w:rsid w:val="00E7533C"/>
    <w:rsid w:val="00E80FFA"/>
    <w:rsid w:val="00E8345D"/>
    <w:rsid w:val="00E83D68"/>
    <w:rsid w:val="00E8426E"/>
    <w:rsid w:val="00E8615E"/>
    <w:rsid w:val="00E86EBE"/>
    <w:rsid w:val="00E8736E"/>
    <w:rsid w:val="00E87873"/>
    <w:rsid w:val="00E90863"/>
    <w:rsid w:val="00E9242C"/>
    <w:rsid w:val="00E92A48"/>
    <w:rsid w:val="00E93425"/>
    <w:rsid w:val="00E93C2C"/>
    <w:rsid w:val="00E94D43"/>
    <w:rsid w:val="00E96646"/>
    <w:rsid w:val="00E97609"/>
    <w:rsid w:val="00E978A7"/>
    <w:rsid w:val="00E97FEF"/>
    <w:rsid w:val="00EA03A8"/>
    <w:rsid w:val="00EA1B6F"/>
    <w:rsid w:val="00EA1DBB"/>
    <w:rsid w:val="00EA3BA4"/>
    <w:rsid w:val="00EA592A"/>
    <w:rsid w:val="00EA5C6E"/>
    <w:rsid w:val="00EB0134"/>
    <w:rsid w:val="00EB04B4"/>
    <w:rsid w:val="00EB0EBD"/>
    <w:rsid w:val="00EB1676"/>
    <w:rsid w:val="00EB1A5B"/>
    <w:rsid w:val="00EB25D6"/>
    <w:rsid w:val="00EB2F04"/>
    <w:rsid w:val="00EB45AB"/>
    <w:rsid w:val="00EB4780"/>
    <w:rsid w:val="00EB4966"/>
    <w:rsid w:val="00EB72BF"/>
    <w:rsid w:val="00EB773F"/>
    <w:rsid w:val="00EC12E6"/>
    <w:rsid w:val="00EC13CD"/>
    <w:rsid w:val="00EC141D"/>
    <w:rsid w:val="00EC3613"/>
    <w:rsid w:val="00EC4C3F"/>
    <w:rsid w:val="00EC5299"/>
    <w:rsid w:val="00EC6185"/>
    <w:rsid w:val="00ED076D"/>
    <w:rsid w:val="00ED07F6"/>
    <w:rsid w:val="00ED38E0"/>
    <w:rsid w:val="00ED3AFD"/>
    <w:rsid w:val="00ED5E1F"/>
    <w:rsid w:val="00ED6C47"/>
    <w:rsid w:val="00EE07D7"/>
    <w:rsid w:val="00EE2EA4"/>
    <w:rsid w:val="00EE352E"/>
    <w:rsid w:val="00EE4DB5"/>
    <w:rsid w:val="00EE5179"/>
    <w:rsid w:val="00EE5755"/>
    <w:rsid w:val="00EE66EB"/>
    <w:rsid w:val="00EF2F9A"/>
    <w:rsid w:val="00EF4084"/>
    <w:rsid w:val="00EF40E4"/>
    <w:rsid w:val="00EF410F"/>
    <w:rsid w:val="00EF451B"/>
    <w:rsid w:val="00EF4F85"/>
    <w:rsid w:val="00EF618B"/>
    <w:rsid w:val="00EF6C23"/>
    <w:rsid w:val="00EF70E2"/>
    <w:rsid w:val="00EF7913"/>
    <w:rsid w:val="00EF7B6D"/>
    <w:rsid w:val="00F0016E"/>
    <w:rsid w:val="00F00526"/>
    <w:rsid w:val="00F01226"/>
    <w:rsid w:val="00F012F6"/>
    <w:rsid w:val="00F02213"/>
    <w:rsid w:val="00F02464"/>
    <w:rsid w:val="00F03951"/>
    <w:rsid w:val="00F03E67"/>
    <w:rsid w:val="00F05BE9"/>
    <w:rsid w:val="00F0652A"/>
    <w:rsid w:val="00F07291"/>
    <w:rsid w:val="00F07ED2"/>
    <w:rsid w:val="00F10889"/>
    <w:rsid w:val="00F13C2A"/>
    <w:rsid w:val="00F14894"/>
    <w:rsid w:val="00F15B2C"/>
    <w:rsid w:val="00F16F6E"/>
    <w:rsid w:val="00F174CB"/>
    <w:rsid w:val="00F200EE"/>
    <w:rsid w:val="00F201D0"/>
    <w:rsid w:val="00F2024E"/>
    <w:rsid w:val="00F20E53"/>
    <w:rsid w:val="00F216C6"/>
    <w:rsid w:val="00F21FBA"/>
    <w:rsid w:val="00F23839"/>
    <w:rsid w:val="00F238A0"/>
    <w:rsid w:val="00F23F41"/>
    <w:rsid w:val="00F24BE5"/>
    <w:rsid w:val="00F25114"/>
    <w:rsid w:val="00F259CE"/>
    <w:rsid w:val="00F2620F"/>
    <w:rsid w:val="00F3011D"/>
    <w:rsid w:val="00F308D5"/>
    <w:rsid w:val="00F3678A"/>
    <w:rsid w:val="00F36835"/>
    <w:rsid w:val="00F4026F"/>
    <w:rsid w:val="00F41786"/>
    <w:rsid w:val="00F4232F"/>
    <w:rsid w:val="00F42F8D"/>
    <w:rsid w:val="00F43317"/>
    <w:rsid w:val="00F43657"/>
    <w:rsid w:val="00F44A64"/>
    <w:rsid w:val="00F45B99"/>
    <w:rsid w:val="00F45FFA"/>
    <w:rsid w:val="00F46DCC"/>
    <w:rsid w:val="00F46FFC"/>
    <w:rsid w:val="00F4763B"/>
    <w:rsid w:val="00F503AC"/>
    <w:rsid w:val="00F5072B"/>
    <w:rsid w:val="00F555A5"/>
    <w:rsid w:val="00F5648D"/>
    <w:rsid w:val="00F567AB"/>
    <w:rsid w:val="00F601FE"/>
    <w:rsid w:val="00F6041D"/>
    <w:rsid w:val="00F61D84"/>
    <w:rsid w:val="00F62D5C"/>
    <w:rsid w:val="00F65A91"/>
    <w:rsid w:val="00F65D77"/>
    <w:rsid w:val="00F67C3C"/>
    <w:rsid w:val="00F70314"/>
    <w:rsid w:val="00F7115F"/>
    <w:rsid w:val="00F717AE"/>
    <w:rsid w:val="00F7180B"/>
    <w:rsid w:val="00F71CB3"/>
    <w:rsid w:val="00F7213D"/>
    <w:rsid w:val="00F72A7B"/>
    <w:rsid w:val="00F73BA8"/>
    <w:rsid w:val="00F741A8"/>
    <w:rsid w:val="00F74603"/>
    <w:rsid w:val="00F74FC5"/>
    <w:rsid w:val="00F77597"/>
    <w:rsid w:val="00F779BE"/>
    <w:rsid w:val="00F77F78"/>
    <w:rsid w:val="00F835B3"/>
    <w:rsid w:val="00F8489B"/>
    <w:rsid w:val="00F8602F"/>
    <w:rsid w:val="00F86871"/>
    <w:rsid w:val="00F87D46"/>
    <w:rsid w:val="00F90E29"/>
    <w:rsid w:val="00F91213"/>
    <w:rsid w:val="00F922A3"/>
    <w:rsid w:val="00F95619"/>
    <w:rsid w:val="00F965D8"/>
    <w:rsid w:val="00F96F04"/>
    <w:rsid w:val="00F97BBB"/>
    <w:rsid w:val="00F97EF3"/>
    <w:rsid w:val="00FA019A"/>
    <w:rsid w:val="00FA0400"/>
    <w:rsid w:val="00FA137E"/>
    <w:rsid w:val="00FA161C"/>
    <w:rsid w:val="00FA3497"/>
    <w:rsid w:val="00FA34E1"/>
    <w:rsid w:val="00FA4D07"/>
    <w:rsid w:val="00FA73C2"/>
    <w:rsid w:val="00FB07CE"/>
    <w:rsid w:val="00FB0CE6"/>
    <w:rsid w:val="00FB11F4"/>
    <w:rsid w:val="00FB277B"/>
    <w:rsid w:val="00FB3403"/>
    <w:rsid w:val="00FB3975"/>
    <w:rsid w:val="00FB4A1B"/>
    <w:rsid w:val="00FB61BB"/>
    <w:rsid w:val="00FB6D16"/>
    <w:rsid w:val="00FB759D"/>
    <w:rsid w:val="00FB7D2F"/>
    <w:rsid w:val="00FC02BB"/>
    <w:rsid w:val="00FC02C6"/>
    <w:rsid w:val="00FC0355"/>
    <w:rsid w:val="00FC0994"/>
    <w:rsid w:val="00FC1244"/>
    <w:rsid w:val="00FC1A7E"/>
    <w:rsid w:val="00FC26A0"/>
    <w:rsid w:val="00FC3F87"/>
    <w:rsid w:val="00FC4B7F"/>
    <w:rsid w:val="00FC5E6B"/>
    <w:rsid w:val="00FC6F55"/>
    <w:rsid w:val="00FC6F5F"/>
    <w:rsid w:val="00FD0791"/>
    <w:rsid w:val="00FD107C"/>
    <w:rsid w:val="00FD327D"/>
    <w:rsid w:val="00FD3BCF"/>
    <w:rsid w:val="00FD4CCE"/>
    <w:rsid w:val="00FD530C"/>
    <w:rsid w:val="00FD6660"/>
    <w:rsid w:val="00FD6BA6"/>
    <w:rsid w:val="00FE01ED"/>
    <w:rsid w:val="00FE0BCF"/>
    <w:rsid w:val="00FE263D"/>
    <w:rsid w:val="00FE2AB5"/>
    <w:rsid w:val="00FE35F6"/>
    <w:rsid w:val="00FE5A07"/>
    <w:rsid w:val="00FE5C3C"/>
    <w:rsid w:val="00FE5FBD"/>
    <w:rsid w:val="00FE6138"/>
    <w:rsid w:val="00FE67C4"/>
    <w:rsid w:val="00FE7073"/>
    <w:rsid w:val="00FE7B61"/>
    <w:rsid w:val="00FF0AF7"/>
    <w:rsid w:val="00FF1AF3"/>
    <w:rsid w:val="00FF2628"/>
    <w:rsid w:val="00FF3943"/>
    <w:rsid w:val="00FF3EE1"/>
    <w:rsid w:val="00FF4A5A"/>
    <w:rsid w:val="00FF53A2"/>
    <w:rsid w:val="00FF5F6B"/>
    <w:rsid w:val="00FF6024"/>
    <w:rsid w:val="00FF706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1B"/>
    <w:pPr>
      <w:jc w:val="both"/>
    </w:pPr>
    <w:rPr>
      <w:rFonts w:ascii="Candara" w:hAnsi="Candara"/>
    </w:rPr>
  </w:style>
  <w:style w:type="paragraph" w:styleId="Ttulo1">
    <w:name w:val="heading 1"/>
    <w:basedOn w:val="Normal"/>
    <w:next w:val="Normal"/>
    <w:link w:val="Ttulo1Car"/>
    <w:uiPriority w:val="9"/>
    <w:qFormat/>
    <w:rsid w:val="00B80F2D"/>
    <w:pPr>
      <w:keepNext/>
      <w:keepLines/>
      <w:numPr>
        <w:numId w:val="4"/>
      </w:numPr>
      <w:spacing w:before="240" w:after="0"/>
      <w:outlineLvl w:val="0"/>
    </w:pPr>
    <w:rPr>
      <w:rFonts w:eastAsiaTheme="majorEastAsia" w:cstheme="majorBidi"/>
      <w:b/>
      <w:i/>
      <w:color w:val="000000" w:themeColor="text1"/>
      <w:sz w:val="24"/>
      <w:szCs w:val="32"/>
    </w:rPr>
  </w:style>
  <w:style w:type="paragraph" w:styleId="Ttulo2">
    <w:name w:val="heading 2"/>
    <w:basedOn w:val="TDC2"/>
    <w:next w:val="Normal"/>
    <w:link w:val="Ttulo2Car"/>
    <w:uiPriority w:val="9"/>
    <w:unhideWhenUsed/>
    <w:qFormat/>
    <w:rsid w:val="0002617F"/>
    <w:pPr>
      <w:keepNext/>
      <w:keepLines/>
      <w:numPr>
        <w:ilvl w:val="1"/>
        <w:numId w:val="4"/>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A77F4A"/>
    <w:pPr>
      <w:keepNext/>
      <w:keepLines/>
      <w:numPr>
        <w:ilvl w:val="2"/>
        <w:numId w:val="4"/>
      </w:numPr>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CA0653"/>
    <w:pPr>
      <w:numPr>
        <w:ilvl w:val="3"/>
        <w:numId w:val="4"/>
      </w:numPr>
      <w:pBdr>
        <w:bottom w:val="dotted" w:sz="4" w:space="1" w:color="C45911" w:themeColor="accent2" w:themeShade="BF"/>
      </w:pBdr>
      <w:spacing w:after="120" w:line="252" w:lineRule="auto"/>
      <w:jc w:val="center"/>
      <w:outlineLvl w:val="3"/>
    </w:pPr>
    <w:rPr>
      <w:rFonts w:asciiTheme="majorHAnsi" w:eastAsiaTheme="majorEastAsia" w:hAnsiTheme="majorHAnsi" w:cstheme="majorBidi"/>
      <w:caps/>
      <w:color w:val="823B0B" w:themeColor="accent2" w:themeShade="7F"/>
      <w:spacing w:val="10"/>
      <w:lang w:eastAsia="es-GT"/>
    </w:rPr>
  </w:style>
  <w:style w:type="paragraph" w:styleId="Ttulo5">
    <w:name w:val="heading 5"/>
    <w:basedOn w:val="Normal"/>
    <w:next w:val="Normal"/>
    <w:link w:val="Ttulo5Car"/>
    <w:uiPriority w:val="9"/>
    <w:unhideWhenUsed/>
    <w:qFormat/>
    <w:rsid w:val="00CA0653"/>
    <w:pPr>
      <w:numPr>
        <w:ilvl w:val="4"/>
        <w:numId w:val="4"/>
      </w:numPr>
      <w:spacing w:before="320" w:after="120" w:line="252" w:lineRule="auto"/>
      <w:jc w:val="center"/>
      <w:outlineLvl w:val="4"/>
    </w:pPr>
    <w:rPr>
      <w:rFonts w:asciiTheme="majorHAnsi" w:eastAsiaTheme="majorEastAsia" w:hAnsiTheme="majorHAnsi" w:cstheme="majorBidi"/>
      <w:caps/>
      <w:color w:val="823B0B" w:themeColor="accent2" w:themeShade="7F"/>
      <w:spacing w:val="10"/>
      <w:lang w:eastAsia="es-GT"/>
    </w:rPr>
  </w:style>
  <w:style w:type="paragraph" w:styleId="Ttulo6">
    <w:name w:val="heading 6"/>
    <w:basedOn w:val="Normal"/>
    <w:next w:val="Normal"/>
    <w:link w:val="Ttulo6Car"/>
    <w:uiPriority w:val="9"/>
    <w:semiHidden/>
    <w:unhideWhenUsed/>
    <w:qFormat/>
    <w:rsid w:val="00CA0653"/>
    <w:pPr>
      <w:numPr>
        <w:ilvl w:val="5"/>
        <w:numId w:val="4"/>
      </w:numPr>
      <w:spacing w:after="120" w:line="252" w:lineRule="auto"/>
      <w:jc w:val="center"/>
      <w:outlineLvl w:val="5"/>
    </w:pPr>
    <w:rPr>
      <w:rFonts w:asciiTheme="majorHAnsi" w:eastAsiaTheme="majorEastAsia" w:hAnsiTheme="majorHAnsi" w:cstheme="majorBidi"/>
      <w:caps/>
      <w:color w:val="C45911" w:themeColor="accent2" w:themeShade="BF"/>
      <w:spacing w:val="10"/>
      <w:lang w:eastAsia="es-GT"/>
    </w:rPr>
  </w:style>
  <w:style w:type="paragraph" w:styleId="Ttulo7">
    <w:name w:val="heading 7"/>
    <w:basedOn w:val="Normal"/>
    <w:next w:val="Normal"/>
    <w:link w:val="Ttulo7Car"/>
    <w:uiPriority w:val="9"/>
    <w:semiHidden/>
    <w:unhideWhenUsed/>
    <w:qFormat/>
    <w:rsid w:val="00CA0653"/>
    <w:pPr>
      <w:numPr>
        <w:ilvl w:val="6"/>
        <w:numId w:val="4"/>
      </w:numPr>
      <w:spacing w:after="120" w:line="252" w:lineRule="auto"/>
      <w:jc w:val="center"/>
      <w:outlineLvl w:val="6"/>
    </w:pPr>
    <w:rPr>
      <w:rFonts w:asciiTheme="majorHAnsi" w:eastAsiaTheme="majorEastAsia" w:hAnsiTheme="majorHAnsi" w:cstheme="majorBidi"/>
      <w:i/>
      <w:iCs/>
      <w:caps/>
      <w:color w:val="C45911" w:themeColor="accent2" w:themeShade="BF"/>
      <w:spacing w:val="10"/>
      <w:lang w:eastAsia="es-GT"/>
    </w:rPr>
  </w:style>
  <w:style w:type="paragraph" w:styleId="Ttulo8">
    <w:name w:val="heading 8"/>
    <w:basedOn w:val="Normal"/>
    <w:next w:val="Normal"/>
    <w:link w:val="Ttulo8Car"/>
    <w:uiPriority w:val="9"/>
    <w:semiHidden/>
    <w:unhideWhenUsed/>
    <w:qFormat/>
    <w:rsid w:val="00CA0653"/>
    <w:pPr>
      <w:numPr>
        <w:ilvl w:val="7"/>
        <w:numId w:val="4"/>
      </w:numPr>
      <w:spacing w:after="120" w:line="252" w:lineRule="auto"/>
      <w:jc w:val="center"/>
      <w:outlineLvl w:val="7"/>
    </w:pPr>
    <w:rPr>
      <w:rFonts w:asciiTheme="majorHAnsi" w:eastAsiaTheme="majorEastAsia" w:hAnsiTheme="majorHAnsi" w:cstheme="majorBidi"/>
      <w:caps/>
      <w:spacing w:val="10"/>
      <w:sz w:val="20"/>
      <w:szCs w:val="20"/>
      <w:lang w:eastAsia="es-GT"/>
    </w:rPr>
  </w:style>
  <w:style w:type="paragraph" w:styleId="Ttulo9">
    <w:name w:val="heading 9"/>
    <w:basedOn w:val="Normal"/>
    <w:next w:val="Normal"/>
    <w:link w:val="Ttulo9Car"/>
    <w:uiPriority w:val="9"/>
    <w:semiHidden/>
    <w:unhideWhenUsed/>
    <w:qFormat/>
    <w:rsid w:val="00CA0653"/>
    <w:pPr>
      <w:numPr>
        <w:ilvl w:val="8"/>
        <w:numId w:val="4"/>
      </w:numPr>
      <w:spacing w:after="120" w:line="252" w:lineRule="auto"/>
      <w:jc w:val="center"/>
      <w:outlineLvl w:val="8"/>
    </w:pPr>
    <w:rPr>
      <w:rFonts w:asciiTheme="majorHAnsi" w:eastAsiaTheme="majorEastAsia" w:hAnsiTheme="majorHAnsi" w:cstheme="majorBidi"/>
      <w:i/>
      <w:iCs/>
      <w:caps/>
      <w:spacing w:val="10"/>
      <w:sz w:val="20"/>
      <w:szCs w:val="20"/>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0F2D"/>
    <w:rPr>
      <w:rFonts w:ascii="Candara" w:eastAsiaTheme="majorEastAsia" w:hAnsi="Candara" w:cstheme="majorBidi"/>
      <w:b/>
      <w:i/>
      <w:color w:val="000000" w:themeColor="text1"/>
      <w:sz w:val="24"/>
      <w:szCs w:val="32"/>
    </w:rPr>
  </w:style>
  <w:style w:type="character" w:customStyle="1" w:styleId="Ttulo2Car">
    <w:name w:val="Título 2 Car"/>
    <w:basedOn w:val="Fuentedeprrafopredeter"/>
    <w:link w:val="Ttulo2"/>
    <w:uiPriority w:val="9"/>
    <w:rsid w:val="0002617F"/>
    <w:rPr>
      <w:rFonts w:ascii="Candara" w:eastAsiaTheme="majorEastAsia" w:hAnsi="Candara" w:cstheme="majorBidi"/>
      <w:b/>
      <w:szCs w:val="26"/>
      <w:lang w:eastAsia="es-GT"/>
    </w:rPr>
  </w:style>
  <w:style w:type="character" w:customStyle="1" w:styleId="Ttulo3Car">
    <w:name w:val="Título 3 Car"/>
    <w:basedOn w:val="Fuentedeprrafopredeter"/>
    <w:link w:val="Ttulo3"/>
    <w:uiPriority w:val="9"/>
    <w:rsid w:val="00A77F4A"/>
    <w:rPr>
      <w:rFonts w:ascii="Candara" w:eastAsiaTheme="majorEastAsia" w:hAnsi="Candara" w:cstheme="majorBidi"/>
      <w:b/>
      <w:szCs w:val="24"/>
    </w:rPr>
  </w:style>
  <w:style w:type="paragraph" w:styleId="Prrafodelista">
    <w:name w:val="List Paragraph"/>
    <w:basedOn w:val="Normal"/>
    <w:link w:val="PrrafodelistaCar"/>
    <w:uiPriority w:val="34"/>
    <w:qFormat/>
    <w:rsid w:val="00E11CA6"/>
    <w:pPr>
      <w:ind w:left="720"/>
      <w:contextualSpacing/>
    </w:pPr>
  </w:style>
  <w:style w:type="character" w:customStyle="1" w:styleId="PrrafodelistaCar">
    <w:name w:val="Párrafo de lista Car"/>
    <w:link w:val="Prrafodelista"/>
    <w:uiPriority w:val="34"/>
    <w:rsid w:val="00E11CA6"/>
  </w:style>
  <w:style w:type="table" w:customStyle="1" w:styleId="Tabladecuadrcula5oscura-nfasis11">
    <w:name w:val="Tabla de cuadrícula 5 oscura - Énfasis 11"/>
    <w:basedOn w:val="Tablanormal"/>
    <w:uiPriority w:val="50"/>
    <w:rsid w:val="00E11C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aliases w:val=" Car,Texto nota pie Car Car Car Car,Texto nota pie1,ft,single space,fn,FOOTNOTES,Texto nota pie Car Car Car Car Car Car,Texto nota pie Car Car Car Car Car Car Car,Texto nota pie Car Car Car Car Car Car Ca,Char,Footnote Text Char2,Car"/>
    <w:basedOn w:val="Normal"/>
    <w:link w:val="TextonotapieCar"/>
    <w:uiPriority w:val="99"/>
    <w:unhideWhenUsed/>
    <w:rsid w:val="00E11CA6"/>
    <w:pPr>
      <w:spacing w:after="0" w:line="240" w:lineRule="auto"/>
    </w:pPr>
    <w:rPr>
      <w:sz w:val="20"/>
      <w:szCs w:val="20"/>
    </w:rPr>
  </w:style>
  <w:style w:type="character" w:customStyle="1" w:styleId="TextonotapieCar">
    <w:name w:val="Texto nota pie Car"/>
    <w:aliases w:val=" Car Car,Texto nota pie Car Car Car Car Car,Texto nota pie1 Car,ft Car,single space Car,fn Car,FOOTNOTES Car,Texto nota pie Car Car Car Car Car Car Car1,Texto nota pie Car Car Car Car Car Car Car Car,Char Car,Footnote Text Char2 Car"/>
    <w:basedOn w:val="Fuentedeprrafopredeter"/>
    <w:link w:val="Textonotapie"/>
    <w:uiPriority w:val="99"/>
    <w:rsid w:val="00E11CA6"/>
    <w:rPr>
      <w:sz w:val="20"/>
      <w:szCs w:val="20"/>
    </w:rPr>
  </w:style>
  <w:style w:type="character" w:styleId="Refdenotaalpie">
    <w:name w:val="footnote reference"/>
    <w:aliases w:val="ftref,16 Point,Superscript 6 Point,BVI fnr,Appel note de bas de p,Footnote Reference1,Ref,de nota al pie,referencia nota al pie,BVI fnr Car Car,BVI fnr Car,BVI fnr Car Car Car Car,BVI fnr Car Car Car Car Char,Texto de nota al pie"/>
    <w:basedOn w:val="Fuentedeprrafopredeter"/>
    <w:uiPriority w:val="99"/>
    <w:unhideWhenUsed/>
    <w:qFormat/>
    <w:rsid w:val="00E11CA6"/>
    <w:rPr>
      <w:vertAlign w:val="superscript"/>
    </w:rPr>
  </w:style>
  <w:style w:type="table" w:styleId="Tablaconcuadrcula">
    <w:name w:val="Table Grid"/>
    <w:basedOn w:val="Tablanormal"/>
    <w:uiPriority w:val="59"/>
    <w:rsid w:val="00E11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E11CA6"/>
    <w:pPr>
      <w:spacing w:after="200" w:line="252" w:lineRule="auto"/>
      <w:ind w:left="720"/>
    </w:pPr>
    <w:rPr>
      <w:rFonts w:asciiTheme="majorHAnsi" w:eastAsia="Times New Roman" w:hAnsiTheme="majorHAnsi" w:cstheme="majorBidi"/>
      <w:lang w:eastAsia="es-GT"/>
    </w:rPr>
  </w:style>
  <w:style w:type="character" w:styleId="Hipervnculo">
    <w:name w:val="Hyperlink"/>
    <w:basedOn w:val="Fuentedeprrafopredeter"/>
    <w:uiPriority w:val="99"/>
    <w:unhideWhenUsed/>
    <w:rsid w:val="00E11CA6"/>
    <w:rPr>
      <w:color w:val="0563C1" w:themeColor="hyperlink"/>
      <w:u w:val="single"/>
    </w:rPr>
  </w:style>
  <w:style w:type="table" w:customStyle="1" w:styleId="Tabladecuadrcula4-nfasis11">
    <w:name w:val="Tabla de cuadrícula 4 - Énfasis 11"/>
    <w:basedOn w:val="Tablanormal"/>
    <w:uiPriority w:val="49"/>
    <w:rsid w:val="00E11CA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domedio1-nfasis111">
    <w:name w:val="Sombreado medio 1 - Énfasis 111"/>
    <w:basedOn w:val="Tablanormal"/>
    <w:uiPriority w:val="63"/>
    <w:rsid w:val="00E11CA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Refdecomentario">
    <w:name w:val="annotation reference"/>
    <w:basedOn w:val="Fuentedeprrafopredeter"/>
    <w:uiPriority w:val="99"/>
    <w:unhideWhenUsed/>
    <w:rsid w:val="00E11CA6"/>
    <w:rPr>
      <w:sz w:val="16"/>
      <w:szCs w:val="16"/>
    </w:rPr>
  </w:style>
  <w:style w:type="paragraph" w:styleId="Textocomentario">
    <w:name w:val="annotation text"/>
    <w:basedOn w:val="Normal"/>
    <w:link w:val="TextocomentarioCar"/>
    <w:uiPriority w:val="99"/>
    <w:unhideWhenUsed/>
    <w:rsid w:val="00E11CA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11CA6"/>
    <w:rPr>
      <w:sz w:val="20"/>
      <w:szCs w:val="20"/>
    </w:rPr>
  </w:style>
  <w:style w:type="paragraph" w:styleId="Textodeglobo">
    <w:name w:val="Balloon Text"/>
    <w:basedOn w:val="Normal"/>
    <w:link w:val="TextodegloboCar"/>
    <w:uiPriority w:val="99"/>
    <w:semiHidden/>
    <w:unhideWhenUsed/>
    <w:rsid w:val="00E11C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1CA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11CA6"/>
    <w:pPr>
      <w:spacing w:after="160"/>
    </w:pPr>
    <w:rPr>
      <w:b/>
      <w:bCs/>
    </w:rPr>
  </w:style>
  <w:style w:type="character" w:customStyle="1" w:styleId="AsuntodelcomentarioCar">
    <w:name w:val="Asunto del comentario Car"/>
    <w:basedOn w:val="TextocomentarioCar"/>
    <w:link w:val="Asuntodelcomentario"/>
    <w:uiPriority w:val="99"/>
    <w:semiHidden/>
    <w:rsid w:val="00E11CA6"/>
    <w:rPr>
      <w:b/>
      <w:bCs/>
      <w:sz w:val="20"/>
      <w:szCs w:val="20"/>
    </w:rPr>
  </w:style>
  <w:style w:type="paragraph" w:styleId="Encabezado">
    <w:name w:val="header"/>
    <w:basedOn w:val="Normal"/>
    <w:link w:val="EncabezadoCar"/>
    <w:uiPriority w:val="99"/>
    <w:unhideWhenUsed/>
    <w:rsid w:val="00E11CA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1CA6"/>
  </w:style>
  <w:style w:type="paragraph" w:styleId="Piedepgina">
    <w:name w:val="footer"/>
    <w:basedOn w:val="Normal"/>
    <w:link w:val="PiedepginaCar"/>
    <w:uiPriority w:val="99"/>
    <w:unhideWhenUsed/>
    <w:rsid w:val="00E11CA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1CA6"/>
  </w:style>
  <w:style w:type="paragraph" w:styleId="NormalWeb">
    <w:name w:val="Normal (Web)"/>
    <w:basedOn w:val="Normal"/>
    <w:uiPriority w:val="99"/>
    <w:unhideWhenUsed/>
    <w:rsid w:val="003E76E3"/>
    <w:pPr>
      <w:spacing w:before="100" w:beforeAutospacing="1" w:after="100" w:afterAutospacing="1" w:line="240" w:lineRule="auto"/>
    </w:pPr>
    <w:rPr>
      <w:rFonts w:ascii="Times New Roman" w:eastAsiaTheme="minorEastAsia" w:hAnsi="Times New Roman" w:cs="Times New Roman"/>
      <w:sz w:val="24"/>
      <w:szCs w:val="24"/>
      <w:lang w:eastAsia="es-GT"/>
    </w:rPr>
  </w:style>
  <w:style w:type="table" w:customStyle="1" w:styleId="Tabladecuadrcula5oscura-nfasis12">
    <w:name w:val="Tabla de cuadrícula 5 oscura - Énfasis 12"/>
    <w:basedOn w:val="Tablanormal"/>
    <w:uiPriority w:val="50"/>
    <w:rsid w:val="00EE07D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E462C4"/>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035033"/>
    <w:pPr>
      <w:spacing w:after="0" w:line="240" w:lineRule="auto"/>
    </w:pPr>
  </w:style>
  <w:style w:type="character" w:customStyle="1" w:styleId="SinespaciadoCar">
    <w:name w:val="Sin espaciado Car"/>
    <w:link w:val="Sinespaciado"/>
    <w:uiPriority w:val="1"/>
    <w:rsid w:val="00035033"/>
  </w:style>
  <w:style w:type="table" w:customStyle="1" w:styleId="Tabladecuadrcula4-nfasis12">
    <w:name w:val="Tabla de cuadrícula 4 - Énfasis 12"/>
    <w:basedOn w:val="Tablanormal"/>
    <w:uiPriority w:val="49"/>
    <w:rsid w:val="00685B6A"/>
    <w:pPr>
      <w:spacing w:after="0" w:line="240" w:lineRule="auto"/>
    </w:pPr>
    <w:rPr>
      <w:rFonts w:eastAsiaTheme="minorEastAsia"/>
      <w:lang w:eastAsia="es-GT"/>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CA0653"/>
    <w:rPr>
      <w:rFonts w:asciiTheme="majorHAnsi" w:eastAsiaTheme="majorEastAsia" w:hAnsiTheme="majorHAnsi" w:cstheme="majorBidi"/>
      <w:caps/>
      <w:color w:val="823B0B" w:themeColor="accent2" w:themeShade="7F"/>
      <w:spacing w:val="10"/>
      <w:lang w:eastAsia="es-GT"/>
    </w:rPr>
  </w:style>
  <w:style w:type="character" w:customStyle="1" w:styleId="Ttulo5Car">
    <w:name w:val="Título 5 Car"/>
    <w:basedOn w:val="Fuentedeprrafopredeter"/>
    <w:link w:val="Ttulo5"/>
    <w:uiPriority w:val="9"/>
    <w:rsid w:val="00CA0653"/>
    <w:rPr>
      <w:rFonts w:asciiTheme="majorHAnsi" w:eastAsiaTheme="majorEastAsia" w:hAnsiTheme="majorHAnsi" w:cstheme="majorBidi"/>
      <w:caps/>
      <w:color w:val="823B0B" w:themeColor="accent2" w:themeShade="7F"/>
      <w:spacing w:val="10"/>
      <w:lang w:eastAsia="es-GT"/>
    </w:rPr>
  </w:style>
  <w:style w:type="character" w:customStyle="1" w:styleId="Ttulo6Car">
    <w:name w:val="Título 6 Car"/>
    <w:basedOn w:val="Fuentedeprrafopredeter"/>
    <w:link w:val="Ttulo6"/>
    <w:uiPriority w:val="9"/>
    <w:semiHidden/>
    <w:rsid w:val="00CA0653"/>
    <w:rPr>
      <w:rFonts w:asciiTheme="majorHAnsi" w:eastAsiaTheme="majorEastAsia" w:hAnsiTheme="majorHAnsi" w:cstheme="majorBidi"/>
      <w:caps/>
      <w:color w:val="C45911" w:themeColor="accent2" w:themeShade="BF"/>
      <w:spacing w:val="10"/>
      <w:lang w:eastAsia="es-GT"/>
    </w:rPr>
  </w:style>
  <w:style w:type="character" w:customStyle="1" w:styleId="Ttulo7Car">
    <w:name w:val="Título 7 Car"/>
    <w:basedOn w:val="Fuentedeprrafopredeter"/>
    <w:link w:val="Ttulo7"/>
    <w:uiPriority w:val="9"/>
    <w:semiHidden/>
    <w:rsid w:val="00CA0653"/>
    <w:rPr>
      <w:rFonts w:asciiTheme="majorHAnsi" w:eastAsiaTheme="majorEastAsia" w:hAnsiTheme="majorHAnsi" w:cstheme="majorBidi"/>
      <w:i/>
      <w:iCs/>
      <w:caps/>
      <w:color w:val="C45911" w:themeColor="accent2" w:themeShade="BF"/>
      <w:spacing w:val="10"/>
      <w:lang w:eastAsia="es-GT"/>
    </w:rPr>
  </w:style>
  <w:style w:type="character" w:customStyle="1" w:styleId="Ttulo8Car">
    <w:name w:val="Título 8 Car"/>
    <w:basedOn w:val="Fuentedeprrafopredeter"/>
    <w:link w:val="Ttulo8"/>
    <w:uiPriority w:val="9"/>
    <w:semiHidden/>
    <w:rsid w:val="00CA0653"/>
    <w:rPr>
      <w:rFonts w:asciiTheme="majorHAnsi" w:eastAsiaTheme="majorEastAsia" w:hAnsiTheme="majorHAnsi" w:cstheme="majorBidi"/>
      <w:caps/>
      <w:spacing w:val="10"/>
      <w:sz w:val="20"/>
      <w:szCs w:val="20"/>
      <w:lang w:eastAsia="es-GT"/>
    </w:rPr>
  </w:style>
  <w:style w:type="character" w:customStyle="1" w:styleId="Ttulo9Car">
    <w:name w:val="Título 9 Car"/>
    <w:basedOn w:val="Fuentedeprrafopredeter"/>
    <w:link w:val="Ttulo9"/>
    <w:uiPriority w:val="9"/>
    <w:semiHidden/>
    <w:rsid w:val="00CA0653"/>
    <w:rPr>
      <w:rFonts w:asciiTheme="majorHAnsi" w:eastAsiaTheme="majorEastAsia" w:hAnsiTheme="majorHAnsi" w:cstheme="majorBidi"/>
      <w:i/>
      <w:iCs/>
      <w:caps/>
      <w:spacing w:val="10"/>
      <w:sz w:val="20"/>
      <w:szCs w:val="20"/>
      <w:lang w:eastAsia="es-GT"/>
    </w:rPr>
  </w:style>
  <w:style w:type="character" w:customStyle="1" w:styleId="Heading1Char">
    <w:name w:val="Heading 1 Char"/>
    <w:uiPriority w:val="99"/>
    <w:locked/>
    <w:rsid w:val="00CA0653"/>
    <w:rPr>
      <w:rFonts w:ascii="Cambria" w:hAnsi="Cambria" w:cs="Cambria"/>
      <w:b/>
      <w:bCs/>
      <w:kern w:val="32"/>
      <w:sz w:val="32"/>
      <w:szCs w:val="32"/>
      <w:lang w:val="es-ES" w:eastAsia="en-US"/>
    </w:rPr>
  </w:style>
  <w:style w:type="character" w:styleId="Nmerodepgina">
    <w:name w:val="page number"/>
    <w:basedOn w:val="Fuentedeprrafopredeter"/>
    <w:uiPriority w:val="99"/>
    <w:rsid w:val="00CA0653"/>
  </w:style>
  <w:style w:type="paragraph" w:styleId="Listaconvietas4">
    <w:name w:val="List Bullet 4"/>
    <w:basedOn w:val="Normal"/>
    <w:uiPriority w:val="99"/>
    <w:rsid w:val="00CA0653"/>
    <w:pPr>
      <w:numPr>
        <w:numId w:val="1"/>
      </w:numPr>
      <w:tabs>
        <w:tab w:val="clear" w:pos="360"/>
        <w:tab w:val="num" w:pos="1209"/>
      </w:tabs>
      <w:spacing w:after="200" w:line="252" w:lineRule="auto"/>
      <w:ind w:left="1209"/>
    </w:pPr>
    <w:rPr>
      <w:rFonts w:asciiTheme="majorHAnsi" w:eastAsiaTheme="majorEastAsia" w:hAnsiTheme="majorHAnsi" w:cstheme="majorBidi"/>
      <w:lang w:eastAsia="es-GT"/>
    </w:rPr>
  </w:style>
  <w:style w:type="paragraph" w:styleId="Saludo">
    <w:name w:val="Salutation"/>
    <w:basedOn w:val="Normal"/>
    <w:next w:val="Normal"/>
    <w:link w:val="SaludoCar"/>
    <w:uiPriority w:val="99"/>
    <w:unhideWhenUsed/>
    <w:rsid w:val="00CA0653"/>
    <w:pPr>
      <w:spacing w:after="200" w:line="252" w:lineRule="auto"/>
    </w:pPr>
    <w:rPr>
      <w:rFonts w:asciiTheme="majorHAnsi" w:eastAsiaTheme="majorEastAsia" w:hAnsiTheme="majorHAnsi" w:cstheme="majorBidi"/>
      <w:lang w:eastAsia="es-GT"/>
    </w:rPr>
  </w:style>
  <w:style w:type="character" w:customStyle="1" w:styleId="SaludoCar">
    <w:name w:val="Saludo Car"/>
    <w:basedOn w:val="Fuentedeprrafopredeter"/>
    <w:link w:val="Saludo"/>
    <w:uiPriority w:val="99"/>
    <w:rsid w:val="00CA0653"/>
    <w:rPr>
      <w:rFonts w:asciiTheme="majorHAnsi" w:eastAsiaTheme="majorEastAsia" w:hAnsiTheme="majorHAnsi" w:cstheme="majorBidi"/>
      <w:lang w:eastAsia="es-GT"/>
    </w:rPr>
  </w:style>
  <w:style w:type="paragraph" w:styleId="Listaconvietas2">
    <w:name w:val="List Bullet 2"/>
    <w:basedOn w:val="Normal"/>
    <w:uiPriority w:val="99"/>
    <w:unhideWhenUsed/>
    <w:rsid w:val="00CA0653"/>
    <w:pPr>
      <w:numPr>
        <w:numId w:val="2"/>
      </w:numPr>
      <w:spacing w:after="200" w:line="252" w:lineRule="auto"/>
      <w:contextualSpacing/>
    </w:pPr>
    <w:rPr>
      <w:rFonts w:asciiTheme="majorHAnsi" w:eastAsiaTheme="majorEastAsia" w:hAnsiTheme="majorHAnsi" w:cstheme="majorBidi"/>
      <w:lang w:eastAsia="es-GT"/>
    </w:rPr>
  </w:style>
  <w:style w:type="paragraph" w:styleId="Textoindependiente">
    <w:name w:val="Body Text"/>
    <w:basedOn w:val="Normal"/>
    <w:link w:val="TextoindependienteCar"/>
    <w:uiPriority w:val="99"/>
    <w:unhideWhenUsed/>
    <w:rsid w:val="00CA0653"/>
    <w:pPr>
      <w:spacing w:after="120" w:line="252" w:lineRule="auto"/>
    </w:pPr>
    <w:rPr>
      <w:rFonts w:asciiTheme="majorHAnsi" w:eastAsiaTheme="majorEastAsia" w:hAnsiTheme="majorHAnsi" w:cstheme="majorBidi"/>
      <w:lang w:eastAsia="es-GT"/>
    </w:rPr>
  </w:style>
  <w:style w:type="character" w:customStyle="1" w:styleId="TextoindependienteCar">
    <w:name w:val="Texto independiente Car"/>
    <w:basedOn w:val="Fuentedeprrafopredeter"/>
    <w:link w:val="Textoindependiente"/>
    <w:uiPriority w:val="99"/>
    <w:rsid w:val="00CA0653"/>
    <w:rPr>
      <w:rFonts w:asciiTheme="majorHAnsi" w:eastAsiaTheme="majorEastAsia" w:hAnsiTheme="majorHAnsi" w:cstheme="majorBidi"/>
      <w:lang w:eastAsia="es-GT"/>
    </w:rPr>
  </w:style>
  <w:style w:type="paragraph" w:styleId="Textoindependienteprimerasangra">
    <w:name w:val="Body Text First Indent"/>
    <w:basedOn w:val="Textoindependiente"/>
    <w:link w:val="TextoindependienteprimerasangraCar"/>
    <w:uiPriority w:val="99"/>
    <w:unhideWhenUsed/>
    <w:rsid w:val="00CA0653"/>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CA0653"/>
    <w:rPr>
      <w:rFonts w:asciiTheme="majorHAnsi" w:eastAsiaTheme="majorEastAsia" w:hAnsiTheme="majorHAnsi" w:cstheme="majorBidi"/>
      <w:lang w:eastAsia="es-GT"/>
    </w:rPr>
  </w:style>
  <w:style w:type="paragraph" w:styleId="TtulodeTDC">
    <w:name w:val="TOC Heading"/>
    <w:basedOn w:val="Ttulo1"/>
    <w:next w:val="Normal"/>
    <w:uiPriority w:val="39"/>
    <w:unhideWhenUsed/>
    <w:qFormat/>
    <w:rsid w:val="00CA0653"/>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sz w:val="28"/>
      <w:szCs w:val="28"/>
      <w:lang w:eastAsia="es-GT" w:bidi="en-US"/>
    </w:rPr>
  </w:style>
  <w:style w:type="paragraph" w:styleId="TDC1">
    <w:name w:val="toc 1"/>
    <w:basedOn w:val="Normal"/>
    <w:next w:val="Normal"/>
    <w:autoRedefine/>
    <w:uiPriority w:val="39"/>
    <w:rsid w:val="00CA0653"/>
    <w:pPr>
      <w:tabs>
        <w:tab w:val="left" w:pos="440"/>
        <w:tab w:val="right" w:leader="dot" w:pos="9346"/>
      </w:tabs>
      <w:spacing w:after="100" w:line="252" w:lineRule="auto"/>
    </w:pPr>
    <w:rPr>
      <w:rFonts w:asciiTheme="majorHAnsi" w:eastAsiaTheme="majorEastAsia" w:hAnsiTheme="majorHAnsi" w:cstheme="majorBidi"/>
      <w:lang w:eastAsia="es-GT"/>
    </w:rPr>
  </w:style>
  <w:style w:type="paragraph" w:styleId="Epgrafe">
    <w:name w:val="caption"/>
    <w:basedOn w:val="Normal"/>
    <w:next w:val="Normal"/>
    <w:uiPriority w:val="35"/>
    <w:unhideWhenUsed/>
    <w:qFormat/>
    <w:rsid w:val="00CA0653"/>
    <w:pPr>
      <w:spacing w:after="200" w:line="252" w:lineRule="auto"/>
    </w:pPr>
    <w:rPr>
      <w:rFonts w:asciiTheme="majorHAnsi" w:eastAsiaTheme="majorEastAsia" w:hAnsiTheme="majorHAnsi" w:cstheme="majorBidi"/>
      <w:caps/>
      <w:spacing w:val="10"/>
      <w:sz w:val="18"/>
      <w:szCs w:val="18"/>
      <w:lang w:eastAsia="es-GT"/>
    </w:rPr>
  </w:style>
  <w:style w:type="paragraph" w:styleId="Ttulo">
    <w:name w:val="Title"/>
    <w:basedOn w:val="Normal"/>
    <w:next w:val="Normal"/>
    <w:link w:val="TtuloCar"/>
    <w:uiPriority w:val="10"/>
    <w:qFormat/>
    <w:rsid w:val="00CA0653"/>
    <w:pPr>
      <w:pBdr>
        <w:top w:val="dotted" w:sz="2" w:space="1" w:color="833C0B" w:themeColor="accent2" w:themeShade="80"/>
        <w:bottom w:val="dotted" w:sz="2" w:space="6" w:color="833C0B" w:themeColor="accent2" w:themeShade="80"/>
      </w:pBdr>
      <w:spacing w:before="500" w:after="300" w:line="240" w:lineRule="auto"/>
      <w:jc w:val="center"/>
    </w:pPr>
    <w:rPr>
      <w:rFonts w:asciiTheme="majorHAnsi" w:eastAsiaTheme="majorEastAsia" w:hAnsiTheme="majorHAnsi" w:cstheme="majorBidi"/>
      <w:caps/>
      <w:color w:val="833C0B" w:themeColor="accent2" w:themeShade="80"/>
      <w:spacing w:val="50"/>
      <w:sz w:val="44"/>
      <w:szCs w:val="44"/>
      <w:lang w:eastAsia="es-GT"/>
    </w:rPr>
  </w:style>
  <w:style w:type="character" w:customStyle="1" w:styleId="TtuloCar">
    <w:name w:val="Título Car"/>
    <w:basedOn w:val="Fuentedeprrafopredeter"/>
    <w:link w:val="Ttulo"/>
    <w:uiPriority w:val="10"/>
    <w:rsid w:val="00CA0653"/>
    <w:rPr>
      <w:rFonts w:asciiTheme="majorHAnsi" w:eastAsiaTheme="majorEastAsia" w:hAnsiTheme="majorHAnsi" w:cstheme="majorBidi"/>
      <w:caps/>
      <w:color w:val="833C0B" w:themeColor="accent2" w:themeShade="80"/>
      <w:spacing w:val="50"/>
      <w:sz w:val="44"/>
      <w:szCs w:val="44"/>
      <w:lang w:eastAsia="es-GT"/>
    </w:rPr>
  </w:style>
  <w:style w:type="paragraph" w:styleId="Subttulo">
    <w:name w:val="Subtitle"/>
    <w:basedOn w:val="Normal"/>
    <w:next w:val="Normal"/>
    <w:link w:val="SubttuloCar"/>
    <w:uiPriority w:val="11"/>
    <w:qFormat/>
    <w:rsid w:val="00CA0653"/>
    <w:pPr>
      <w:spacing w:after="560" w:line="240" w:lineRule="auto"/>
      <w:jc w:val="center"/>
    </w:pPr>
    <w:rPr>
      <w:rFonts w:asciiTheme="majorHAnsi" w:eastAsiaTheme="majorEastAsia" w:hAnsiTheme="majorHAnsi" w:cstheme="majorBidi"/>
      <w:caps/>
      <w:spacing w:val="20"/>
      <w:sz w:val="18"/>
      <w:szCs w:val="18"/>
      <w:lang w:eastAsia="es-GT"/>
    </w:rPr>
  </w:style>
  <w:style w:type="character" w:customStyle="1" w:styleId="SubttuloCar">
    <w:name w:val="Subtítulo Car"/>
    <w:basedOn w:val="Fuentedeprrafopredeter"/>
    <w:link w:val="Subttulo"/>
    <w:uiPriority w:val="11"/>
    <w:rsid w:val="00CA0653"/>
    <w:rPr>
      <w:rFonts w:asciiTheme="majorHAnsi" w:eastAsiaTheme="majorEastAsia" w:hAnsiTheme="majorHAnsi" w:cstheme="majorBidi"/>
      <w:caps/>
      <w:spacing w:val="20"/>
      <w:sz w:val="18"/>
      <w:szCs w:val="18"/>
      <w:lang w:eastAsia="es-GT"/>
    </w:rPr>
  </w:style>
  <w:style w:type="character" w:styleId="Textoennegrita">
    <w:name w:val="Strong"/>
    <w:uiPriority w:val="22"/>
    <w:qFormat/>
    <w:rsid w:val="00CA0653"/>
    <w:rPr>
      <w:b/>
      <w:bCs/>
      <w:color w:val="C45911" w:themeColor="accent2" w:themeShade="BF"/>
      <w:spacing w:val="5"/>
    </w:rPr>
  </w:style>
  <w:style w:type="character" w:styleId="nfasis">
    <w:name w:val="Emphasis"/>
    <w:uiPriority w:val="20"/>
    <w:qFormat/>
    <w:rsid w:val="00CA0653"/>
    <w:rPr>
      <w:caps/>
      <w:spacing w:val="5"/>
      <w:sz w:val="20"/>
      <w:szCs w:val="20"/>
    </w:rPr>
  </w:style>
  <w:style w:type="paragraph" w:styleId="Cita">
    <w:name w:val="Quote"/>
    <w:basedOn w:val="Normal"/>
    <w:next w:val="Normal"/>
    <w:link w:val="CitaCar"/>
    <w:uiPriority w:val="29"/>
    <w:qFormat/>
    <w:rsid w:val="00CA0653"/>
    <w:pPr>
      <w:spacing w:after="200" w:line="252" w:lineRule="auto"/>
    </w:pPr>
    <w:rPr>
      <w:rFonts w:asciiTheme="majorHAnsi" w:eastAsiaTheme="majorEastAsia" w:hAnsiTheme="majorHAnsi" w:cstheme="majorBidi"/>
      <w:i/>
      <w:iCs/>
      <w:lang w:eastAsia="es-GT"/>
    </w:rPr>
  </w:style>
  <w:style w:type="character" w:customStyle="1" w:styleId="CitaCar">
    <w:name w:val="Cita Car"/>
    <w:basedOn w:val="Fuentedeprrafopredeter"/>
    <w:link w:val="Cita"/>
    <w:uiPriority w:val="29"/>
    <w:rsid w:val="00CA0653"/>
    <w:rPr>
      <w:rFonts w:asciiTheme="majorHAnsi" w:eastAsiaTheme="majorEastAsia" w:hAnsiTheme="majorHAnsi" w:cstheme="majorBidi"/>
      <w:i/>
      <w:iCs/>
      <w:lang w:eastAsia="es-GT"/>
    </w:rPr>
  </w:style>
  <w:style w:type="paragraph" w:styleId="Citadestacada">
    <w:name w:val="Intense Quote"/>
    <w:basedOn w:val="Normal"/>
    <w:next w:val="Normal"/>
    <w:link w:val="CitadestacadaCar"/>
    <w:uiPriority w:val="30"/>
    <w:qFormat/>
    <w:rsid w:val="00CA0653"/>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eastAsia="es-GT"/>
    </w:rPr>
  </w:style>
  <w:style w:type="character" w:customStyle="1" w:styleId="CitadestacadaCar">
    <w:name w:val="Cita destacada Car"/>
    <w:basedOn w:val="Fuentedeprrafopredeter"/>
    <w:link w:val="Citadestacada"/>
    <w:uiPriority w:val="30"/>
    <w:rsid w:val="00CA0653"/>
    <w:rPr>
      <w:rFonts w:asciiTheme="majorHAnsi" w:eastAsiaTheme="majorEastAsia" w:hAnsiTheme="majorHAnsi" w:cstheme="majorBidi"/>
      <w:caps/>
      <w:color w:val="823B0B" w:themeColor="accent2" w:themeShade="7F"/>
      <w:spacing w:val="5"/>
      <w:sz w:val="20"/>
      <w:szCs w:val="20"/>
      <w:lang w:eastAsia="es-GT"/>
    </w:rPr>
  </w:style>
  <w:style w:type="character" w:styleId="nfasissutil">
    <w:name w:val="Subtle Emphasis"/>
    <w:uiPriority w:val="19"/>
    <w:qFormat/>
    <w:rsid w:val="00CA0653"/>
    <w:rPr>
      <w:i/>
      <w:iCs/>
    </w:rPr>
  </w:style>
  <w:style w:type="character" w:styleId="nfasisintenso">
    <w:name w:val="Intense Emphasis"/>
    <w:uiPriority w:val="21"/>
    <w:qFormat/>
    <w:rsid w:val="00CA0653"/>
    <w:rPr>
      <w:i/>
      <w:iCs/>
      <w:caps/>
      <w:spacing w:val="10"/>
      <w:sz w:val="20"/>
      <w:szCs w:val="20"/>
    </w:rPr>
  </w:style>
  <w:style w:type="character" w:styleId="Referenciasutil">
    <w:name w:val="Subtle Reference"/>
    <w:basedOn w:val="Fuentedeprrafopredeter"/>
    <w:uiPriority w:val="31"/>
    <w:qFormat/>
    <w:rsid w:val="00CA0653"/>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CA0653"/>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CA0653"/>
    <w:rPr>
      <w:caps/>
      <w:color w:val="823B0B" w:themeColor="accent2" w:themeShade="7F"/>
      <w:spacing w:val="5"/>
      <w:u w:color="823B0B" w:themeColor="accent2" w:themeShade="7F"/>
    </w:rPr>
  </w:style>
  <w:style w:type="table" w:customStyle="1" w:styleId="Tabladecuadrcula4-nfasis21">
    <w:name w:val="Tabla de cuadrícula 4 - Énfasis 21"/>
    <w:basedOn w:val="Tablanormal"/>
    <w:uiPriority w:val="49"/>
    <w:rsid w:val="00CA0653"/>
    <w:pPr>
      <w:spacing w:after="0" w:line="240" w:lineRule="auto"/>
    </w:pPr>
    <w:rPr>
      <w:rFonts w:asciiTheme="majorHAnsi" w:eastAsiaTheme="majorEastAsia" w:hAnsiTheme="majorHAnsi" w:cstheme="majorBidi"/>
      <w:lang w:eastAsia="es-GT"/>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n">
    <w:name w:val="Revision"/>
    <w:hidden/>
    <w:uiPriority w:val="99"/>
    <w:semiHidden/>
    <w:rsid w:val="002E6FED"/>
    <w:pPr>
      <w:spacing w:after="0" w:line="240" w:lineRule="auto"/>
    </w:pPr>
    <w:rPr>
      <w:rFonts w:ascii="Candara" w:eastAsia="Calibri" w:hAnsi="Candara" w:cs="Times New Roman"/>
    </w:rPr>
  </w:style>
  <w:style w:type="table" w:customStyle="1" w:styleId="Tabladecuadrcula5oscura-nfasis51">
    <w:name w:val="Tabla de cuadrícula 5 oscura - Énfasis 51"/>
    <w:basedOn w:val="Tablanormal"/>
    <w:uiPriority w:val="50"/>
    <w:rsid w:val="002E6FE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
    <w:name w:val="Tabla de lista 3 - Énfasis 51"/>
    <w:basedOn w:val="Tablanormal"/>
    <w:uiPriority w:val="48"/>
    <w:rsid w:val="002E6FED"/>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nfasis11">
    <w:name w:val="Tabla de lista 4 - Énfasis 11"/>
    <w:basedOn w:val="Tablanormal"/>
    <w:uiPriority w:val="49"/>
    <w:rsid w:val="002E6FE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2E6FE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
    <w:name w:val="Tabla de cuadrícula 6 con colores - Énfasis 51"/>
    <w:basedOn w:val="Tablanormal"/>
    <w:uiPriority w:val="51"/>
    <w:rsid w:val="002E6FED"/>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3">
    <w:name w:val="Tabla de cuadrícula 4 - Énfasis 13"/>
    <w:basedOn w:val="Tablanormal"/>
    <w:uiPriority w:val="49"/>
    <w:rsid w:val="00723A8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vistosa-nfasis5">
    <w:name w:val="Colorful Grid Accent 5"/>
    <w:basedOn w:val="Tablanormal"/>
    <w:uiPriority w:val="73"/>
    <w:rsid w:val="00AF2B7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ndice1">
    <w:name w:val="index 1"/>
    <w:basedOn w:val="Normal"/>
    <w:next w:val="Normal"/>
    <w:autoRedefine/>
    <w:uiPriority w:val="99"/>
    <w:semiHidden/>
    <w:unhideWhenUsed/>
    <w:rsid w:val="00F36835"/>
    <w:pPr>
      <w:spacing w:after="0" w:line="240" w:lineRule="auto"/>
      <w:ind w:left="220" w:hanging="220"/>
    </w:pPr>
  </w:style>
  <w:style w:type="paragraph" w:styleId="TDC2">
    <w:name w:val="toc 2"/>
    <w:basedOn w:val="Normal"/>
    <w:next w:val="Normal"/>
    <w:autoRedefine/>
    <w:uiPriority w:val="39"/>
    <w:unhideWhenUsed/>
    <w:rsid w:val="00142D6B"/>
    <w:pPr>
      <w:tabs>
        <w:tab w:val="left" w:pos="880"/>
        <w:tab w:val="right" w:leader="dot" w:pos="9204"/>
      </w:tabs>
      <w:spacing w:after="100"/>
      <w:ind w:left="142"/>
    </w:pPr>
    <w:rPr>
      <w:rFonts w:eastAsiaTheme="minorEastAsia" w:cs="Times New Roman"/>
      <w:lang w:eastAsia="es-GT"/>
    </w:rPr>
  </w:style>
  <w:style w:type="paragraph" w:styleId="TDC3">
    <w:name w:val="toc 3"/>
    <w:basedOn w:val="Normal"/>
    <w:next w:val="Normal"/>
    <w:autoRedefine/>
    <w:uiPriority w:val="39"/>
    <w:unhideWhenUsed/>
    <w:rsid w:val="00E461C5"/>
    <w:pPr>
      <w:tabs>
        <w:tab w:val="left" w:pos="1100"/>
        <w:tab w:val="right" w:leader="dot" w:pos="9204"/>
      </w:tabs>
      <w:spacing w:after="100"/>
      <w:ind w:left="440"/>
      <w:jc w:val="left"/>
    </w:pPr>
    <w:rPr>
      <w:rFonts w:eastAsiaTheme="minorEastAsia" w:cs="Times New Roman"/>
      <w:lang w:eastAsia="es-GT"/>
    </w:rPr>
  </w:style>
  <w:style w:type="paragraph" w:styleId="Tabladeilustraciones">
    <w:name w:val="table of figures"/>
    <w:basedOn w:val="Normal"/>
    <w:next w:val="Normal"/>
    <w:uiPriority w:val="99"/>
    <w:semiHidden/>
    <w:unhideWhenUsed/>
    <w:rsid w:val="0084599E"/>
    <w:pPr>
      <w:spacing w:after="0"/>
    </w:pPr>
  </w:style>
  <w:style w:type="table" w:customStyle="1" w:styleId="Tabladecuadrcula5oscura-nfasis120">
    <w:name w:val="Tabla de cuadrícula 5 oscura - Énfasis 12"/>
    <w:basedOn w:val="Tablanormal"/>
    <w:next w:val="Tabladecuadrcula5oscura-nfasis12"/>
    <w:uiPriority w:val="50"/>
    <w:rsid w:val="00C567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Sinlista1">
    <w:name w:val="Sin lista1"/>
    <w:next w:val="Sinlista"/>
    <w:uiPriority w:val="99"/>
    <w:semiHidden/>
    <w:unhideWhenUsed/>
    <w:rsid w:val="00F91213"/>
  </w:style>
  <w:style w:type="table" w:customStyle="1" w:styleId="Tabladecuadrcula5oscura-nfasis511">
    <w:name w:val="Tabla de cuadrícula 5 oscura - Énfasis 511"/>
    <w:basedOn w:val="Tablanormal"/>
    <w:uiPriority w:val="50"/>
    <w:rsid w:val="00F912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1">
    <w:name w:val="Tabla de lista 3 - Énfasis 511"/>
    <w:basedOn w:val="Tablanormal"/>
    <w:uiPriority w:val="48"/>
    <w:rsid w:val="00F9121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nfasis111">
    <w:name w:val="Tabla de lista 4 - Énfasis 111"/>
    <w:basedOn w:val="Tablanormal"/>
    <w:uiPriority w:val="49"/>
    <w:rsid w:val="00F9121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1">
    <w:name w:val="Tabla de cuadrícula 4 - Énfasis 511"/>
    <w:basedOn w:val="Tablanormal"/>
    <w:uiPriority w:val="49"/>
    <w:rsid w:val="00F9121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1">
    <w:name w:val="Tabla de cuadrícula 6 con colores - Énfasis 511"/>
    <w:basedOn w:val="Tablanormal"/>
    <w:uiPriority w:val="51"/>
    <w:rsid w:val="00F9121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3">
    <w:name w:val="Tabla de cuadrícula 5 oscura - Énfasis 13"/>
    <w:basedOn w:val="Tablanormal"/>
    <w:next w:val="Tabladecuadrcula5oscura-nfasis12"/>
    <w:uiPriority w:val="50"/>
    <w:rsid w:val="00F912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1">
    <w:name w:val="Tabla de cuadrícula 4 - Énfasis 111"/>
    <w:basedOn w:val="Tablanormal"/>
    <w:uiPriority w:val="49"/>
    <w:rsid w:val="0068155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1">
    <w:name w:val="Tabla de cuadrícula 5 oscura - Énfasis 111"/>
    <w:basedOn w:val="Tablanormal"/>
    <w:uiPriority w:val="50"/>
    <w:rsid w:val="0078016B"/>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Sombreadomedio1-nfasis1">
    <w:name w:val="Medium Shading 1 Accent 1"/>
    <w:basedOn w:val="Tablanormal"/>
    <w:uiPriority w:val="63"/>
    <w:rsid w:val="00DB63D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decuadrcula5oscura-nfasis112">
    <w:name w:val="Tabla de cuadrícula 5 oscura - Énfasis 112"/>
    <w:basedOn w:val="Tablanormal"/>
    <w:uiPriority w:val="50"/>
    <w:rsid w:val="0062349D"/>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113">
    <w:name w:val="Tabla de cuadrícula 5 oscura - Énfasis 113"/>
    <w:basedOn w:val="Tablanormal"/>
    <w:uiPriority w:val="50"/>
    <w:rsid w:val="006A25D7"/>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footnotedescription">
    <w:name w:val="footnote description"/>
    <w:next w:val="Normal"/>
    <w:link w:val="footnotedescriptionChar"/>
    <w:hidden/>
    <w:rsid w:val="007223FB"/>
    <w:pPr>
      <w:spacing w:after="0" w:line="248" w:lineRule="auto"/>
      <w:ind w:left="283" w:right="9"/>
      <w:jc w:val="both"/>
    </w:pPr>
    <w:rPr>
      <w:rFonts w:ascii="Arial" w:eastAsia="Arial" w:hAnsi="Arial" w:cs="Arial"/>
      <w:color w:val="000000"/>
      <w:sz w:val="16"/>
      <w:lang w:eastAsia="es-GT"/>
    </w:rPr>
  </w:style>
  <w:style w:type="character" w:customStyle="1" w:styleId="footnotedescriptionChar">
    <w:name w:val="footnote description Char"/>
    <w:link w:val="footnotedescription"/>
    <w:rsid w:val="007223FB"/>
    <w:rPr>
      <w:rFonts w:ascii="Arial" w:eastAsia="Arial" w:hAnsi="Arial" w:cs="Arial"/>
      <w:color w:val="000000"/>
      <w:sz w:val="16"/>
      <w:lang w:eastAsia="es-GT"/>
    </w:rPr>
  </w:style>
  <w:style w:type="character" w:customStyle="1" w:styleId="footnotemark">
    <w:name w:val="footnote mark"/>
    <w:hidden/>
    <w:rsid w:val="007223FB"/>
    <w:rPr>
      <w:rFonts w:ascii="Arial" w:eastAsia="Arial" w:hAnsi="Arial" w:cs="Arial"/>
      <w:color w:val="000000"/>
      <w:sz w:val="16"/>
      <w:vertAlign w:val="superscript"/>
    </w:rPr>
  </w:style>
  <w:style w:type="table" w:customStyle="1" w:styleId="TableGrid">
    <w:name w:val="TableGrid"/>
    <w:rsid w:val="007223FB"/>
    <w:pPr>
      <w:spacing w:after="0" w:line="240" w:lineRule="auto"/>
    </w:pPr>
    <w:rPr>
      <w:rFonts w:eastAsiaTheme="minorEastAsia"/>
      <w:lang w:eastAsia="es-GT"/>
    </w:rPr>
    <w:tblPr>
      <w:tblCellMar>
        <w:top w:w="0" w:type="dxa"/>
        <w:left w:w="0" w:type="dxa"/>
        <w:bottom w:w="0" w:type="dxa"/>
        <w:right w:w="0" w:type="dxa"/>
      </w:tblCellMar>
    </w:tblPr>
  </w:style>
  <w:style w:type="table" w:styleId="Sombreadoclaro-nfasis1">
    <w:name w:val="Light Shading Accent 1"/>
    <w:basedOn w:val="Tablanormal"/>
    <w:uiPriority w:val="60"/>
    <w:rsid w:val="007223FB"/>
    <w:pPr>
      <w:spacing w:after="0" w:line="240" w:lineRule="auto"/>
    </w:pPr>
    <w:rPr>
      <w:rFonts w:ascii="Arial" w:hAnsi="Arial"/>
      <w:color w:val="2E74B5" w:themeColor="accent1" w:themeShade="BF"/>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normal31">
    <w:name w:val="Tabla normal 31"/>
    <w:basedOn w:val="Tablanormal"/>
    <w:uiPriority w:val="43"/>
    <w:rsid w:val="007223FB"/>
    <w:pPr>
      <w:spacing w:after="0" w:line="240" w:lineRule="auto"/>
    </w:pPr>
    <w:rPr>
      <w:rFonts w:eastAsiaTheme="minorEastAsia"/>
      <w:lang w:eastAsia="es-GT"/>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61">
    <w:name w:val="Tabla de cuadrícula 5 oscura - Énfasis 61"/>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Cuadrculaclara-nfasis1">
    <w:name w:val="Light Grid Accent 1"/>
    <w:basedOn w:val="Tablanormal"/>
    <w:uiPriority w:val="62"/>
    <w:rsid w:val="007223FB"/>
    <w:pPr>
      <w:spacing w:after="0" w:line="240" w:lineRule="auto"/>
    </w:pPr>
    <w:rPr>
      <w:rFonts w:ascii="Arial" w:hAnsi="Arial"/>
      <w:sz w:val="24"/>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5oscura-nfasis52">
    <w:name w:val="Tabla de cuadrícula 5 oscura - Énfasis 52"/>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11">
    <w:name w:val="Tabla de cuadrícula 2 - Énfasis 11"/>
    <w:basedOn w:val="Tablanormal"/>
    <w:uiPriority w:val="47"/>
    <w:rsid w:val="007223FB"/>
    <w:pPr>
      <w:spacing w:after="0" w:line="240" w:lineRule="auto"/>
    </w:pPr>
    <w:rPr>
      <w:rFonts w:eastAsiaTheme="minorEastAsia"/>
      <w:lang w:eastAsia="es-GT"/>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4">
    <w:name w:val="Tabla de cuadrícula 4 - Énfasis 14"/>
    <w:basedOn w:val="Tablanormal"/>
    <w:uiPriority w:val="49"/>
    <w:rsid w:val="007223F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1">
    <w:name w:val="Medium Grid 3 Accent 1"/>
    <w:basedOn w:val="Tablanormal"/>
    <w:uiPriority w:val="69"/>
    <w:rsid w:val="007223FB"/>
    <w:pPr>
      <w:spacing w:after="0" w:line="240" w:lineRule="auto"/>
    </w:pPr>
    <w:rPr>
      <w:rFonts w:eastAsiaTheme="minorEastAsia"/>
      <w:lang w:eastAsia="es-G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5">
    <w:name w:val="Medium Grid 3 Accent 5"/>
    <w:basedOn w:val="Tablanormal"/>
    <w:uiPriority w:val="69"/>
    <w:rsid w:val="007223FB"/>
    <w:pPr>
      <w:spacing w:after="0" w:line="240" w:lineRule="auto"/>
    </w:pPr>
    <w:rPr>
      <w:rFonts w:eastAsiaTheme="minorEastAsia"/>
      <w:lang w:eastAsia="es-G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decuadrcula4-nfasis52">
    <w:name w:val="Tabla de cuadrícula 4 - Énfasis 52"/>
    <w:basedOn w:val="Tablanormal"/>
    <w:uiPriority w:val="49"/>
    <w:rsid w:val="007223FB"/>
    <w:pPr>
      <w:spacing w:after="0" w:line="240" w:lineRule="auto"/>
    </w:pPr>
    <w:rPr>
      <w:rFonts w:eastAsiaTheme="minorEastAsia"/>
      <w:lang w:eastAsia="es-GT"/>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4">
    <w:name w:val="Tabla de cuadrícula 5 oscura - Énfasis 14"/>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DC4">
    <w:name w:val="toc 4"/>
    <w:basedOn w:val="Normal"/>
    <w:next w:val="Normal"/>
    <w:autoRedefine/>
    <w:uiPriority w:val="39"/>
    <w:unhideWhenUsed/>
    <w:rsid w:val="009B30CD"/>
    <w:pPr>
      <w:spacing w:after="100"/>
      <w:ind w:left="660"/>
    </w:pPr>
  </w:style>
  <w:style w:type="paragraph" w:styleId="TDC5">
    <w:name w:val="toc 5"/>
    <w:basedOn w:val="Normal"/>
    <w:next w:val="Normal"/>
    <w:autoRedefine/>
    <w:uiPriority w:val="39"/>
    <w:unhideWhenUsed/>
    <w:rsid w:val="00985E6E"/>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D1B"/>
    <w:pPr>
      <w:jc w:val="both"/>
    </w:pPr>
    <w:rPr>
      <w:rFonts w:ascii="Candara" w:hAnsi="Candara"/>
    </w:rPr>
  </w:style>
  <w:style w:type="paragraph" w:styleId="Ttulo1">
    <w:name w:val="heading 1"/>
    <w:basedOn w:val="Normal"/>
    <w:next w:val="Normal"/>
    <w:link w:val="Ttulo1Car"/>
    <w:uiPriority w:val="9"/>
    <w:qFormat/>
    <w:rsid w:val="00B80F2D"/>
    <w:pPr>
      <w:keepNext/>
      <w:keepLines/>
      <w:numPr>
        <w:numId w:val="4"/>
      </w:numPr>
      <w:spacing w:before="240" w:after="0"/>
      <w:outlineLvl w:val="0"/>
    </w:pPr>
    <w:rPr>
      <w:rFonts w:eastAsiaTheme="majorEastAsia" w:cstheme="majorBidi"/>
      <w:b/>
      <w:i/>
      <w:color w:val="000000" w:themeColor="text1"/>
      <w:sz w:val="24"/>
      <w:szCs w:val="32"/>
    </w:rPr>
  </w:style>
  <w:style w:type="paragraph" w:styleId="Ttulo2">
    <w:name w:val="heading 2"/>
    <w:basedOn w:val="TDC2"/>
    <w:next w:val="Normal"/>
    <w:link w:val="Ttulo2Car"/>
    <w:uiPriority w:val="9"/>
    <w:unhideWhenUsed/>
    <w:qFormat/>
    <w:rsid w:val="0002617F"/>
    <w:pPr>
      <w:keepNext/>
      <w:keepLines/>
      <w:numPr>
        <w:ilvl w:val="1"/>
        <w:numId w:val="4"/>
      </w:numPr>
      <w:spacing w:before="40" w:after="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A77F4A"/>
    <w:pPr>
      <w:keepNext/>
      <w:keepLines/>
      <w:numPr>
        <w:ilvl w:val="2"/>
        <w:numId w:val="4"/>
      </w:numPr>
      <w:spacing w:before="40" w:after="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CA0653"/>
    <w:pPr>
      <w:numPr>
        <w:ilvl w:val="3"/>
        <w:numId w:val="4"/>
      </w:numPr>
      <w:pBdr>
        <w:bottom w:val="dotted" w:sz="4" w:space="1" w:color="C45911" w:themeColor="accent2" w:themeShade="BF"/>
      </w:pBdr>
      <w:spacing w:after="120" w:line="252" w:lineRule="auto"/>
      <w:jc w:val="center"/>
      <w:outlineLvl w:val="3"/>
    </w:pPr>
    <w:rPr>
      <w:rFonts w:asciiTheme="majorHAnsi" w:eastAsiaTheme="majorEastAsia" w:hAnsiTheme="majorHAnsi" w:cstheme="majorBidi"/>
      <w:caps/>
      <w:color w:val="823B0B" w:themeColor="accent2" w:themeShade="7F"/>
      <w:spacing w:val="10"/>
      <w:lang w:eastAsia="es-GT"/>
    </w:rPr>
  </w:style>
  <w:style w:type="paragraph" w:styleId="Ttulo5">
    <w:name w:val="heading 5"/>
    <w:basedOn w:val="Normal"/>
    <w:next w:val="Normal"/>
    <w:link w:val="Ttulo5Car"/>
    <w:uiPriority w:val="9"/>
    <w:unhideWhenUsed/>
    <w:qFormat/>
    <w:rsid w:val="00CA0653"/>
    <w:pPr>
      <w:numPr>
        <w:ilvl w:val="4"/>
        <w:numId w:val="4"/>
      </w:numPr>
      <w:spacing w:before="320" w:after="120" w:line="252" w:lineRule="auto"/>
      <w:jc w:val="center"/>
      <w:outlineLvl w:val="4"/>
    </w:pPr>
    <w:rPr>
      <w:rFonts w:asciiTheme="majorHAnsi" w:eastAsiaTheme="majorEastAsia" w:hAnsiTheme="majorHAnsi" w:cstheme="majorBidi"/>
      <w:caps/>
      <w:color w:val="823B0B" w:themeColor="accent2" w:themeShade="7F"/>
      <w:spacing w:val="10"/>
      <w:lang w:eastAsia="es-GT"/>
    </w:rPr>
  </w:style>
  <w:style w:type="paragraph" w:styleId="Ttulo6">
    <w:name w:val="heading 6"/>
    <w:basedOn w:val="Normal"/>
    <w:next w:val="Normal"/>
    <w:link w:val="Ttulo6Car"/>
    <w:uiPriority w:val="9"/>
    <w:semiHidden/>
    <w:unhideWhenUsed/>
    <w:qFormat/>
    <w:rsid w:val="00CA0653"/>
    <w:pPr>
      <w:numPr>
        <w:ilvl w:val="5"/>
        <w:numId w:val="4"/>
      </w:numPr>
      <w:spacing w:after="120" w:line="252" w:lineRule="auto"/>
      <w:jc w:val="center"/>
      <w:outlineLvl w:val="5"/>
    </w:pPr>
    <w:rPr>
      <w:rFonts w:asciiTheme="majorHAnsi" w:eastAsiaTheme="majorEastAsia" w:hAnsiTheme="majorHAnsi" w:cstheme="majorBidi"/>
      <w:caps/>
      <w:color w:val="C45911" w:themeColor="accent2" w:themeShade="BF"/>
      <w:spacing w:val="10"/>
      <w:lang w:eastAsia="es-GT"/>
    </w:rPr>
  </w:style>
  <w:style w:type="paragraph" w:styleId="Ttulo7">
    <w:name w:val="heading 7"/>
    <w:basedOn w:val="Normal"/>
    <w:next w:val="Normal"/>
    <w:link w:val="Ttulo7Car"/>
    <w:uiPriority w:val="9"/>
    <w:semiHidden/>
    <w:unhideWhenUsed/>
    <w:qFormat/>
    <w:rsid w:val="00CA0653"/>
    <w:pPr>
      <w:numPr>
        <w:ilvl w:val="6"/>
        <w:numId w:val="4"/>
      </w:numPr>
      <w:spacing w:after="120" w:line="252" w:lineRule="auto"/>
      <w:jc w:val="center"/>
      <w:outlineLvl w:val="6"/>
    </w:pPr>
    <w:rPr>
      <w:rFonts w:asciiTheme="majorHAnsi" w:eastAsiaTheme="majorEastAsia" w:hAnsiTheme="majorHAnsi" w:cstheme="majorBidi"/>
      <w:i/>
      <w:iCs/>
      <w:caps/>
      <w:color w:val="C45911" w:themeColor="accent2" w:themeShade="BF"/>
      <w:spacing w:val="10"/>
      <w:lang w:eastAsia="es-GT"/>
    </w:rPr>
  </w:style>
  <w:style w:type="paragraph" w:styleId="Ttulo8">
    <w:name w:val="heading 8"/>
    <w:basedOn w:val="Normal"/>
    <w:next w:val="Normal"/>
    <w:link w:val="Ttulo8Car"/>
    <w:uiPriority w:val="9"/>
    <w:semiHidden/>
    <w:unhideWhenUsed/>
    <w:qFormat/>
    <w:rsid w:val="00CA0653"/>
    <w:pPr>
      <w:numPr>
        <w:ilvl w:val="7"/>
        <w:numId w:val="4"/>
      </w:numPr>
      <w:spacing w:after="120" w:line="252" w:lineRule="auto"/>
      <w:jc w:val="center"/>
      <w:outlineLvl w:val="7"/>
    </w:pPr>
    <w:rPr>
      <w:rFonts w:asciiTheme="majorHAnsi" w:eastAsiaTheme="majorEastAsia" w:hAnsiTheme="majorHAnsi" w:cstheme="majorBidi"/>
      <w:caps/>
      <w:spacing w:val="10"/>
      <w:sz w:val="20"/>
      <w:szCs w:val="20"/>
      <w:lang w:eastAsia="es-GT"/>
    </w:rPr>
  </w:style>
  <w:style w:type="paragraph" w:styleId="Ttulo9">
    <w:name w:val="heading 9"/>
    <w:basedOn w:val="Normal"/>
    <w:next w:val="Normal"/>
    <w:link w:val="Ttulo9Car"/>
    <w:uiPriority w:val="9"/>
    <w:semiHidden/>
    <w:unhideWhenUsed/>
    <w:qFormat/>
    <w:rsid w:val="00CA0653"/>
    <w:pPr>
      <w:numPr>
        <w:ilvl w:val="8"/>
        <w:numId w:val="4"/>
      </w:numPr>
      <w:spacing w:after="120" w:line="252" w:lineRule="auto"/>
      <w:jc w:val="center"/>
      <w:outlineLvl w:val="8"/>
    </w:pPr>
    <w:rPr>
      <w:rFonts w:asciiTheme="majorHAnsi" w:eastAsiaTheme="majorEastAsia" w:hAnsiTheme="majorHAnsi" w:cstheme="majorBidi"/>
      <w:i/>
      <w:iCs/>
      <w:caps/>
      <w:spacing w:val="10"/>
      <w:sz w:val="20"/>
      <w:szCs w:val="20"/>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0F2D"/>
    <w:rPr>
      <w:rFonts w:ascii="Candara" w:eastAsiaTheme="majorEastAsia" w:hAnsi="Candara" w:cstheme="majorBidi"/>
      <w:b/>
      <w:i/>
      <w:color w:val="000000" w:themeColor="text1"/>
      <w:sz w:val="24"/>
      <w:szCs w:val="32"/>
    </w:rPr>
  </w:style>
  <w:style w:type="character" w:customStyle="1" w:styleId="Ttulo2Car">
    <w:name w:val="Título 2 Car"/>
    <w:basedOn w:val="Fuentedeprrafopredeter"/>
    <w:link w:val="Ttulo2"/>
    <w:uiPriority w:val="9"/>
    <w:rsid w:val="0002617F"/>
    <w:rPr>
      <w:rFonts w:ascii="Candara" w:eastAsiaTheme="majorEastAsia" w:hAnsi="Candara" w:cstheme="majorBidi"/>
      <w:b/>
      <w:szCs w:val="26"/>
      <w:lang w:eastAsia="es-GT"/>
    </w:rPr>
  </w:style>
  <w:style w:type="character" w:customStyle="1" w:styleId="Ttulo3Car">
    <w:name w:val="Título 3 Car"/>
    <w:basedOn w:val="Fuentedeprrafopredeter"/>
    <w:link w:val="Ttulo3"/>
    <w:uiPriority w:val="9"/>
    <w:rsid w:val="00A77F4A"/>
    <w:rPr>
      <w:rFonts w:ascii="Candara" w:eastAsiaTheme="majorEastAsia" w:hAnsi="Candara" w:cstheme="majorBidi"/>
      <w:b/>
      <w:szCs w:val="24"/>
    </w:rPr>
  </w:style>
  <w:style w:type="paragraph" w:styleId="Prrafodelista">
    <w:name w:val="List Paragraph"/>
    <w:basedOn w:val="Normal"/>
    <w:link w:val="PrrafodelistaCar"/>
    <w:uiPriority w:val="34"/>
    <w:qFormat/>
    <w:rsid w:val="00E11CA6"/>
    <w:pPr>
      <w:ind w:left="720"/>
      <w:contextualSpacing/>
    </w:pPr>
  </w:style>
  <w:style w:type="character" w:customStyle="1" w:styleId="PrrafodelistaCar">
    <w:name w:val="Párrafo de lista Car"/>
    <w:link w:val="Prrafodelista"/>
    <w:uiPriority w:val="34"/>
    <w:rsid w:val="00E11CA6"/>
  </w:style>
  <w:style w:type="table" w:customStyle="1" w:styleId="Tabladecuadrcula5oscura-nfasis11">
    <w:name w:val="Tabla de cuadrícula 5 oscura - Énfasis 11"/>
    <w:basedOn w:val="Tablanormal"/>
    <w:uiPriority w:val="50"/>
    <w:rsid w:val="00E11CA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aliases w:val=" Car,Texto nota pie Car Car Car Car,Texto nota pie1,ft,single space,fn,FOOTNOTES,Texto nota pie Car Car Car Car Car Car,Texto nota pie Car Car Car Car Car Car Car,Texto nota pie Car Car Car Car Car Car Ca,Char,Footnote Text Char2,Car"/>
    <w:basedOn w:val="Normal"/>
    <w:link w:val="TextonotapieCar"/>
    <w:uiPriority w:val="99"/>
    <w:unhideWhenUsed/>
    <w:rsid w:val="00E11CA6"/>
    <w:pPr>
      <w:spacing w:after="0" w:line="240" w:lineRule="auto"/>
    </w:pPr>
    <w:rPr>
      <w:sz w:val="20"/>
      <w:szCs w:val="20"/>
    </w:rPr>
  </w:style>
  <w:style w:type="character" w:customStyle="1" w:styleId="TextonotapieCar">
    <w:name w:val="Texto nota pie Car"/>
    <w:aliases w:val=" Car Car,Texto nota pie Car Car Car Car Car,Texto nota pie1 Car,ft Car,single space Car,fn Car,FOOTNOTES Car,Texto nota pie Car Car Car Car Car Car Car1,Texto nota pie Car Car Car Car Car Car Car Car,Char Car,Footnote Text Char2 Car"/>
    <w:basedOn w:val="Fuentedeprrafopredeter"/>
    <w:link w:val="Textonotapie"/>
    <w:uiPriority w:val="99"/>
    <w:rsid w:val="00E11CA6"/>
    <w:rPr>
      <w:sz w:val="20"/>
      <w:szCs w:val="20"/>
    </w:rPr>
  </w:style>
  <w:style w:type="character" w:styleId="Refdenotaalpie">
    <w:name w:val="footnote reference"/>
    <w:aliases w:val="ftref,16 Point,Superscript 6 Point,BVI fnr,Appel note de bas de p,Footnote Reference1,Ref,de nota al pie,referencia nota al pie,BVI fnr Car Car,BVI fnr Car,BVI fnr Car Car Car Car,BVI fnr Car Car Car Car Char,Texto de nota al pie"/>
    <w:basedOn w:val="Fuentedeprrafopredeter"/>
    <w:uiPriority w:val="99"/>
    <w:unhideWhenUsed/>
    <w:qFormat/>
    <w:rsid w:val="00E11CA6"/>
    <w:rPr>
      <w:vertAlign w:val="superscript"/>
    </w:rPr>
  </w:style>
  <w:style w:type="table" w:styleId="Tablaconcuadrcula">
    <w:name w:val="Table Grid"/>
    <w:basedOn w:val="Tablanormal"/>
    <w:uiPriority w:val="59"/>
    <w:rsid w:val="00E11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E11CA6"/>
    <w:pPr>
      <w:spacing w:after="200" w:line="252" w:lineRule="auto"/>
      <w:ind w:left="720"/>
    </w:pPr>
    <w:rPr>
      <w:rFonts w:asciiTheme="majorHAnsi" w:eastAsia="Times New Roman" w:hAnsiTheme="majorHAnsi" w:cstheme="majorBidi"/>
      <w:lang w:eastAsia="es-GT"/>
    </w:rPr>
  </w:style>
  <w:style w:type="character" w:styleId="Hipervnculo">
    <w:name w:val="Hyperlink"/>
    <w:basedOn w:val="Fuentedeprrafopredeter"/>
    <w:uiPriority w:val="99"/>
    <w:unhideWhenUsed/>
    <w:rsid w:val="00E11CA6"/>
    <w:rPr>
      <w:color w:val="0563C1" w:themeColor="hyperlink"/>
      <w:u w:val="single"/>
    </w:rPr>
  </w:style>
  <w:style w:type="table" w:customStyle="1" w:styleId="Tabladecuadrcula4-nfasis11">
    <w:name w:val="Tabla de cuadrícula 4 - Énfasis 11"/>
    <w:basedOn w:val="Tablanormal"/>
    <w:uiPriority w:val="49"/>
    <w:rsid w:val="00E11CA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domedio1-nfasis111">
    <w:name w:val="Sombreado medio 1 - Énfasis 111"/>
    <w:basedOn w:val="Tablanormal"/>
    <w:uiPriority w:val="63"/>
    <w:rsid w:val="00E11CA6"/>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Refdecomentario">
    <w:name w:val="annotation reference"/>
    <w:basedOn w:val="Fuentedeprrafopredeter"/>
    <w:uiPriority w:val="99"/>
    <w:unhideWhenUsed/>
    <w:rsid w:val="00E11CA6"/>
    <w:rPr>
      <w:sz w:val="16"/>
      <w:szCs w:val="16"/>
    </w:rPr>
  </w:style>
  <w:style w:type="paragraph" w:styleId="Textocomentario">
    <w:name w:val="annotation text"/>
    <w:basedOn w:val="Normal"/>
    <w:link w:val="TextocomentarioCar"/>
    <w:uiPriority w:val="99"/>
    <w:unhideWhenUsed/>
    <w:rsid w:val="00E11CA6"/>
    <w:pPr>
      <w:spacing w:after="200" w:line="240" w:lineRule="auto"/>
    </w:pPr>
    <w:rPr>
      <w:sz w:val="20"/>
      <w:szCs w:val="20"/>
    </w:rPr>
  </w:style>
  <w:style w:type="character" w:customStyle="1" w:styleId="TextocomentarioCar">
    <w:name w:val="Texto comentario Car"/>
    <w:basedOn w:val="Fuentedeprrafopredeter"/>
    <w:link w:val="Textocomentario"/>
    <w:uiPriority w:val="99"/>
    <w:rsid w:val="00E11CA6"/>
    <w:rPr>
      <w:sz w:val="20"/>
      <w:szCs w:val="20"/>
    </w:rPr>
  </w:style>
  <w:style w:type="paragraph" w:styleId="Textodeglobo">
    <w:name w:val="Balloon Text"/>
    <w:basedOn w:val="Normal"/>
    <w:link w:val="TextodegloboCar"/>
    <w:uiPriority w:val="99"/>
    <w:semiHidden/>
    <w:unhideWhenUsed/>
    <w:rsid w:val="00E11C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1CA6"/>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11CA6"/>
    <w:pPr>
      <w:spacing w:after="160"/>
    </w:pPr>
    <w:rPr>
      <w:b/>
      <w:bCs/>
    </w:rPr>
  </w:style>
  <w:style w:type="character" w:customStyle="1" w:styleId="AsuntodelcomentarioCar">
    <w:name w:val="Asunto del comentario Car"/>
    <w:basedOn w:val="TextocomentarioCar"/>
    <w:link w:val="Asuntodelcomentario"/>
    <w:uiPriority w:val="99"/>
    <w:semiHidden/>
    <w:rsid w:val="00E11CA6"/>
    <w:rPr>
      <w:b/>
      <w:bCs/>
      <w:sz w:val="20"/>
      <w:szCs w:val="20"/>
    </w:rPr>
  </w:style>
  <w:style w:type="paragraph" w:styleId="Encabezado">
    <w:name w:val="header"/>
    <w:basedOn w:val="Normal"/>
    <w:link w:val="EncabezadoCar"/>
    <w:uiPriority w:val="99"/>
    <w:unhideWhenUsed/>
    <w:rsid w:val="00E11CA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1CA6"/>
  </w:style>
  <w:style w:type="paragraph" w:styleId="Piedepgina">
    <w:name w:val="footer"/>
    <w:basedOn w:val="Normal"/>
    <w:link w:val="PiedepginaCar"/>
    <w:uiPriority w:val="99"/>
    <w:unhideWhenUsed/>
    <w:rsid w:val="00E11CA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1CA6"/>
  </w:style>
  <w:style w:type="paragraph" w:styleId="NormalWeb">
    <w:name w:val="Normal (Web)"/>
    <w:basedOn w:val="Normal"/>
    <w:uiPriority w:val="99"/>
    <w:unhideWhenUsed/>
    <w:rsid w:val="003E76E3"/>
    <w:pPr>
      <w:spacing w:before="100" w:beforeAutospacing="1" w:after="100" w:afterAutospacing="1" w:line="240" w:lineRule="auto"/>
    </w:pPr>
    <w:rPr>
      <w:rFonts w:ascii="Times New Roman" w:eastAsiaTheme="minorEastAsia" w:hAnsi="Times New Roman" w:cs="Times New Roman"/>
      <w:sz w:val="24"/>
      <w:szCs w:val="24"/>
      <w:lang w:eastAsia="es-GT"/>
    </w:rPr>
  </w:style>
  <w:style w:type="table" w:customStyle="1" w:styleId="Tabladecuadrcula5oscura-nfasis12">
    <w:name w:val="Tabla de cuadrícula 5 oscura - Énfasis 12"/>
    <w:basedOn w:val="Tablanormal"/>
    <w:uiPriority w:val="50"/>
    <w:rsid w:val="00EE07D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E462C4"/>
    <w:pPr>
      <w:autoSpaceDE w:val="0"/>
      <w:autoSpaceDN w:val="0"/>
      <w:adjustRightInd w:val="0"/>
      <w:spacing w:after="0" w:line="240" w:lineRule="auto"/>
    </w:pPr>
    <w:rPr>
      <w:rFonts w:ascii="Arial" w:hAnsi="Arial" w:cs="Arial"/>
      <w:color w:val="000000"/>
      <w:sz w:val="24"/>
      <w:szCs w:val="24"/>
    </w:rPr>
  </w:style>
  <w:style w:type="paragraph" w:styleId="Sinespaciado">
    <w:name w:val="No Spacing"/>
    <w:link w:val="SinespaciadoCar"/>
    <w:uiPriority w:val="1"/>
    <w:qFormat/>
    <w:rsid w:val="00035033"/>
    <w:pPr>
      <w:spacing w:after="0" w:line="240" w:lineRule="auto"/>
    </w:pPr>
  </w:style>
  <w:style w:type="character" w:customStyle="1" w:styleId="SinespaciadoCar">
    <w:name w:val="Sin espaciado Car"/>
    <w:link w:val="Sinespaciado"/>
    <w:uiPriority w:val="1"/>
    <w:rsid w:val="00035033"/>
  </w:style>
  <w:style w:type="table" w:customStyle="1" w:styleId="Tabladecuadrcula4-nfasis12">
    <w:name w:val="Tabla de cuadrícula 4 - Énfasis 12"/>
    <w:basedOn w:val="Tablanormal"/>
    <w:uiPriority w:val="49"/>
    <w:rsid w:val="00685B6A"/>
    <w:pPr>
      <w:spacing w:after="0" w:line="240" w:lineRule="auto"/>
    </w:pPr>
    <w:rPr>
      <w:rFonts w:eastAsiaTheme="minorEastAsia"/>
      <w:lang w:eastAsia="es-GT"/>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rsid w:val="00CA0653"/>
    <w:rPr>
      <w:rFonts w:asciiTheme="majorHAnsi" w:eastAsiaTheme="majorEastAsia" w:hAnsiTheme="majorHAnsi" w:cstheme="majorBidi"/>
      <w:caps/>
      <w:color w:val="823B0B" w:themeColor="accent2" w:themeShade="7F"/>
      <w:spacing w:val="10"/>
      <w:lang w:eastAsia="es-GT"/>
    </w:rPr>
  </w:style>
  <w:style w:type="character" w:customStyle="1" w:styleId="Ttulo5Car">
    <w:name w:val="Título 5 Car"/>
    <w:basedOn w:val="Fuentedeprrafopredeter"/>
    <w:link w:val="Ttulo5"/>
    <w:uiPriority w:val="9"/>
    <w:rsid w:val="00CA0653"/>
    <w:rPr>
      <w:rFonts w:asciiTheme="majorHAnsi" w:eastAsiaTheme="majorEastAsia" w:hAnsiTheme="majorHAnsi" w:cstheme="majorBidi"/>
      <w:caps/>
      <w:color w:val="823B0B" w:themeColor="accent2" w:themeShade="7F"/>
      <w:spacing w:val="10"/>
      <w:lang w:eastAsia="es-GT"/>
    </w:rPr>
  </w:style>
  <w:style w:type="character" w:customStyle="1" w:styleId="Ttulo6Car">
    <w:name w:val="Título 6 Car"/>
    <w:basedOn w:val="Fuentedeprrafopredeter"/>
    <w:link w:val="Ttulo6"/>
    <w:uiPriority w:val="9"/>
    <w:semiHidden/>
    <w:rsid w:val="00CA0653"/>
    <w:rPr>
      <w:rFonts w:asciiTheme="majorHAnsi" w:eastAsiaTheme="majorEastAsia" w:hAnsiTheme="majorHAnsi" w:cstheme="majorBidi"/>
      <w:caps/>
      <w:color w:val="C45911" w:themeColor="accent2" w:themeShade="BF"/>
      <w:spacing w:val="10"/>
      <w:lang w:eastAsia="es-GT"/>
    </w:rPr>
  </w:style>
  <w:style w:type="character" w:customStyle="1" w:styleId="Ttulo7Car">
    <w:name w:val="Título 7 Car"/>
    <w:basedOn w:val="Fuentedeprrafopredeter"/>
    <w:link w:val="Ttulo7"/>
    <w:uiPriority w:val="9"/>
    <w:semiHidden/>
    <w:rsid w:val="00CA0653"/>
    <w:rPr>
      <w:rFonts w:asciiTheme="majorHAnsi" w:eastAsiaTheme="majorEastAsia" w:hAnsiTheme="majorHAnsi" w:cstheme="majorBidi"/>
      <w:i/>
      <w:iCs/>
      <w:caps/>
      <w:color w:val="C45911" w:themeColor="accent2" w:themeShade="BF"/>
      <w:spacing w:val="10"/>
      <w:lang w:eastAsia="es-GT"/>
    </w:rPr>
  </w:style>
  <w:style w:type="character" w:customStyle="1" w:styleId="Ttulo8Car">
    <w:name w:val="Título 8 Car"/>
    <w:basedOn w:val="Fuentedeprrafopredeter"/>
    <w:link w:val="Ttulo8"/>
    <w:uiPriority w:val="9"/>
    <w:semiHidden/>
    <w:rsid w:val="00CA0653"/>
    <w:rPr>
      <w:rFonts w:asciiTheme="majorHAnsi" w:eastAsiaTheme="majorEastAsia" w:hAnsiTheme="majorHAnsi" w:cstheme="majorBidi"/>
      <w:caps/>
      <w:spacing w:val="10"/>
      <w:sz w:val="20"/>
      <w:szCs w:val="20"/>
      <w:lang w:eastAsia="es-GT"/>
    </w:rPr>
  </w:style>
  <w:style w:type="character" w:customStyle="1" w:styleId="Ttulo9Car">
    <w:name w:val="Título 9 Car"/>
    <w:basedOn w:val="Fuentedeprrafopredeter"/>
    <w:link w:val="Ttulo9"/>
    <w:uiPriority w:val="9"/>
    <w:semiHidden/>
    <w:rsid w:val="00CA0653"/>
    <w:rPr>
      <w:rFonts w:asciiTheme="majorHAnsi" w:eastAsiaTheme="majorEastAsia" w:hAnsiTheme="majorHAnsi" w:cstheme="majorBidi"/>
      <w:i/>
      <w:iCs/>
      <w:caps/>
      <w:spacing w:val="10"/>
      <w:sz w:val="20"/>
      <w:szCs w:val="20"/>
      <w:lang w:eastAsia="es-GT"/>
    </w:rPr>
  </w:style>
  <w:style w:type="character" w:customStyle="1" w:styleId="Heading1Char">
    <w:name w:val="Heading 1 Char"/>
    <w:uiPriority w:val="99"/>
    <w:locked/>
    <w:rsid w:val="00CA0653"/>
    <w:rPr>
      <w:rFonts w:ascii="Cambria" w:hAnsi="Cambria" w:cs="Cambria"/>
      <w:b/>
      <w:bCs/>
      <w:kern w:val="32"/>
      <w:sz w:val="32"/>
      <w:szCs w:val="32"/>
      <w:lang w:val="es-ES" w:eastAsia="en-US"/>
    </w:rPr>
  </w:style>
  <w:style w:type="character" w:styleId="Nmerodepgina">
    <w:name w:val="page number"/>
    <w:basedOn w:val="Fuentedeprrafopredeter"/>
    <w:uiPriority w:val="99"/>
    <w:rsid w:val="00CA0653"/>
  </w:style>
  <w:style w:type="paragraph" w:styleId="Listaconvietas4">
    <w:name w:val="List Bullet 4"/>
    <w:basedOn w:val="Normal"/>
    <w:uiPriority w:val="99"/>
    <w:rsid w:val="00CA0653"/>
    <w:pPr>
      <w:numPr>
        <w:numId w:val="1"/>
      </w:numPr>
      <w:tabs>
        <w:tab w:val="clear" w:pos="360"/>
        <w:tab w:val="num" w:pos="1209"/>
      </w:tabs>
      <w:spacing w:after="200" w:line="252" w:lineRule="auto"/>
      <w:ind w:left="1209"/>
    </w:pPr>
    <w:rPr>
      <w:rFonts w:asciiTheme="majorHAnsi" w:eastAsiaTheme="majorEastAsia" w:hAnsiTheme="majorHAnsi" w:cstheme="majorBidi"/>
      <w:lang w:eastAsia="es-GT"/>
    </w:rPr>
  </w:style>
  <w:style w:type="paragraph" w:styleId="Saludo">
    <w:name w:val="Salutation"/>
    <w:basedOn w:val="Normal"/>
    <w:next w:val="Normal"/>
    <w:link w:val="SaludoCar"/>
    <w:uiPriority w:val="99"/>
    <w:unhideWhenUsed/>
    <w:rsid w:val="00CA0653"/>
    <w:pPr>
      <w:spacing w:after="200" w:line="252" w:lineRule="auto"/>
    </w:pPr>
    <w:rPr>
      <w:rFonts w:asciiTheme="majorHAnsi" w:eastAsiaTheme="majorEastAsia" w:hAnsiTheme="majorHAnsi" w:cstheme="majorBidi"/>
      <w:lang w:eastAsia="es-GT"/>
    </w:rPr>
  </w:style>
  <w:style w:type="character" w:customStyle="1" w:styleId="SaludoCar">
    <w:name w:val="Saludo Car"/>
    <w:basedOn w:val="Fuentedeprrafopredeter"/>
    <w:link w:val="Saludo"/>
    <w:uiPriority w:val="99"/>
    <w:rsid w:val="00CA0653"/>
    <w:rPr>
      <w:rFonts w:asciiTheme="majorHAnsi" w:eastAsiaTheme="majorEastAsia" w:hAnsiTheme="majorHAnsi" w:cstheme="majorBidi"/>
      <w:lang w:eastAsia="es-GT"/>
    </w:rPr>
  </w:style>
  <w:style w:type="paragraph" w:styleId="Listaconvietas2">
    <w:name w:val="List Bullet 2"/>
    <w:basedOn w:val="Normal"/>
    <w:uiPriority w:val="99"/>
    <w:unhideWhenUsed/>
    <w:rsid w:val="00CA0653"/>
    <w:pPr>
      <w:numPr>
        <w:numId w:val="2"/>
      </w:numPr>
      <w:spacing w:after="200" w:line="252" w:lineRule="auto"/>
      <w:contextualSpacing/>
    </w:pPr>
    <w:rPr>
      <w:rFonts w:asciiTheme="majorHAnsi" w:eastAsiaTheme="majorEastAsia" w:hAnsiTheme="majorHAnsi" w:cstheme="majorBidi"/>
      <w:lang w:eastAsia="es-GT"/>
    </w:rPr>
  </w:style>
  <w:style w:type="paragraph" w:styleId="Textoindependiente">
    <w:name w:val="Body Text"/>
    <w:basedOn w:val="Normal"/>
    <w:link w:val="TextoindependienteCar"/>
    <w:uiPriority w:val="99"/>
    <w:unhideWhenUsed/>
    <w:rsid w:val="00CA0653"/>
    <w:pPr>
      <w:spacing w:after="120" w:line="252" w:lineRule="auto"/>
    </w:pPr>
    <w:rPr>
      <w:rFonts w:asciiTheme="majorHAnsi" w:eastAsiaTheme="majorEastAsia" w:hAnsiTheme="majorHAnsi" w:cstheme="majorBidi"/>
      <w:lang w:eastAsia="es-GT"/>
    </w:rPr>
  </w:style>
  <w:style w:type="character" w:customStyle="1" w:styleId="TextoindependienteCar">
    <w:name w:val="Texto independiente Car"/>
    <w:basedOn w:val="Fuentedeprrafopredeter"/>
    <w:link w:val="Textoindependiente"/>
    <w:uiPriority w:val="99"/>
    <w:rsid w:val="00CA0653"/>
    <w:rPr>
      <w:rFonts w:asciiTheme="majorHAnsi" w:eastAsiaTheme="majorEastAsia" w:hAnsiTheme="majorHAnsi" w:cstheme="majorBidi"/>
      <w:lang w:eastAsia="es-GT"/>
    </w:rPr>
  </w:style>
  <w:style w:type="paragraph" w:styleId="Textoindependienteprimerasangra">
    <w:name w:val="Body Text First Indent"/>
    <w:basedOn w:val="Textoindependiente"/>
    <w:link w:val="TextoindependienteprimerasangraCar"/>
    <w:uiPriority w:val="99"/>
    <w:unhideWhenUsed/>
    <w:rsid w:val="00CA0653"/>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CA0653"/>
    <w:rPr>
      <w:rFonts w:asciiTheme="majorHAnsi" w:eastAsiaTheme="majorEastAsia" w:hAnsiTheme="majorHAnsi" w:cstheme="majorBidi"/>
      <w:lang w:eastAsia="es-GT"/>
    </w:rPr>
  </w:style>
  <w:style w:type="paragraph" w:styleId="TtulodeTDC">
    <w:name w:val="TOC Heading"/>
    <w:basedOn w:val="Ttulo1"/>
    <w:next w:val="Normal"/>
    <w:uiPriority w:val="39"/>
    <w:unhideWhenUsed/>
    <w:qFormat/>
    <w:rsid w:val="00CA0653"/>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sz w:val="28"/>
      <w:szCs w:val="28"/>
      <w:lang w:eastAsia="es-GT" w:bidi="en-US"/>
    </w:rPr>
  </w:style>
  <w:style w:type="paragraph" w:styleId="TDC1">
    <w:name w:val="toc 1"/>
    <w:basedOn w:val="Normal"/>
    <w:next w:val="Normal"/>
    <w:autoRedefine/>
    <w:uiPriority w:val="39"/>
    <w:rsid w:val="00CA0653"/>
    <w:pPr>
      <w:tabs>
        <w:tab w:val="left" w:pos="440"/>
        <w:tab w:val="right" w:leader="dot" w:pos="9346"/>
      </w:tabs>
      <w:spacing w:after="100" w:line="252" w:lineRule="auto"/>
    </w:pPr>
    <w:rPr>
      <w:rFonts w:asciiTheme="majorHAnsi" w:eastAsiaTheme="majorEastAsia" w:hAnsiTheme="majorHAnsi" w:cstheme="majorBidi"/>
      <w:lang w:eastAsia="es-GT"/>
    </w:rPr>
  </w:style>
  <w:style w:type="paragraph" w:styleId="Epgrafe">
    <w:name w:val="caption"/>
    <w:basedOn w:val="Normal"/>
    <w:next w:val="Normal"/>
    <w:uiPriority w:val="35"/>
    <w:unhideWhenUsed/>
    <w:qFormat/>
    <w:rsid w:val="00CA0653"/>
    <w:pPr>
      <w:spacing w:after="200" w:line="252" w:lineRule="auto"/>
    </w:pPr>
    <w:rPr>
      <w:rFonts w:asciiTheme="majorHAnsi" w:eastAsiaTheme="majorEastAsia" w:hAnsiTheme="majorHAnsi" w:cstheme="majorBidi"/>
      <w:caps/>
      <w:spacing w:val="10"/>
      <w:sz w:val="18"/>
      <w:szCs w:val="18"/>
      <w:lang w:eastAsia="es-GT"/>
    </w:rPr>
  </w:style>
  <w:style w:type="paragraph" w:styleId="Ttulo">
    <w:name w:val="Title"/>
    <w:basedOn w:val="Normal"/>
    <w:next w:val="Normal"/>
    <w:link w:val="TtuloCar"/>
    <w:uiPriority w:val="10"/>
    <w:qFormat/>
    <w:rsid w:val="00CA0653"/>
    <w:pPr>
      <w:pBdr>
        <w:top w:val="dotted" w:sz="2" w:space="1" w:color="833C0B" w:themeColor="accent2" w:themeShade="80"/>
        <w:bottom w:val="dotted" w:sz="2" w:space="6" w:color="833C0B" w:themeColor="accent2" w:themeShade="80"/>
      </w:pBdr>
      <w:spacing w:before="500" w:after="300" w:line="240" w:lineRule="auto"/>
      <w:jc w:val="center"/>
    </w:pPr>
    <w:rPr>
      <w:rFonts w:asciiTheme="majorHAnsi" w:eastAsiaTheme="majorEastAsia" w:hAnsiTheme="majorHAnsi" w:cstheme="majorBidi"/>
      <w:caps/>
      <w:color w:val="833C0B" w:themeColor="accent2" w:themeShade="80"/>
      <w:spacing w:val="50"/>
      <w:sz w:val="44"/>
      <w:szCs w:val="44"/>
      <w:lang w:eastAsia="es-GT"/>
    </w:rPr>
  </w:style>
  <w:style w:type="character" w:customStyle="1" w:styleId="TtuloCar">
    <w:name w:val="Título Car"/>
    <w:basedOn w:val="Fuentedeprrafopredeter"/>
    <w:link w:val="Ttulo"/>
    <w:uiPriority w:val="10"/>
    <w:rsid w:val="00CA0653"/>
    <w:rPr>
      <w:rFonts w:asciiTheme="majorHAnsi" w:eastAsiaTheme="majorEastAsia" w:hAnsiTheme="majorHAnsi" w:cstheme="majorBidi"/>
      <w:caps/>
      <w:color w:val="833C0B" w:themeColor="accent2" w:themeShade="80"/>
      <w:spacing w:val="50"/>
      <w:sz w:val="44"/>
      <w:szCs w:val="44"/>
      <w:lang w:eastAsia="es-GT"/>
    </w:rPr>
  </w:style>
  <w:style w:type="paragraph" w:styleId="Subttulo">
    <w:name w:val="Subtitle"/>
    <w:basedOn w:val="Normal"/>
    <w:next w:val="Normal"/>
    <w:link w:val="SubttuloCar"/>
    <w:uiPriority w:val="11"/>
    <w:qFormat/>
    <w:rsid w:val="00CA0653"/>
    <w:pPr>
      <w:spacing w:after="560" w:line="240" w:lineRule="auto"/>
      <w:jc w:val="center"/>
    </w:pPr>
    <w:rPr>
      <w:rFonts w:asciiTheme="majorHAnsi" w:eastAsiaTheme="majorEastAsia" w:hAnsiTheme="majorHAnsi" w:cstheme="majorBidi"/>
      <w:caps/>
      <w:spacing w:val="20"/>
      <w:sz w:val="18"/>
      <w:szCs w:val="18"/>
      <w:lang w:eastAsia="es-GT"/>
    </w:rPr>
  </w:style>
  <w:style w:type="character" w:customStyle="1" w:styleId="SubttuloCar">
    <w:name w:val="Subtítulo Car"/>
    <w:basedOn w:val="Fuentedeprrafopredeter"/>
    <w:link w:val="Subttulo"/>
    <w:uiPriority w:val="11"/>
    <w:rsid w:val="00CA0653"/>
    <w:rPr>
      <w:rFonts w:asciiTheme="majorHAnsi" w:eastAsiaTheme="majorEastAsia" w:hAnsiTheme="majorHAnsi" w:cstheme="majorBidi"/>
      <w:caps/>
      <w:spacing w:val="20"/>
      <w:sz w:val="18"/>
      <w:szCs w:val="18"/>
      <w:lang w:eastAsia="es-GT"/>
    </w:rPr>
  </w:style>
  <w:style w:type="character" w:styleId="Textoennegrita">
    <w:name w:val="Strong"/>
    <w:uiPriority w:val="22"/>
    <w:qFormat/>
    <w:rsid w:val="00CA0653"/>
    <w:rPr>
      <w:b/>
      <w:bCs/>
      <w:color w:val="C45911" w:themeColor="accent2" w:themeShade="BF"/>
      <w:spacing w:val="5"/>
    </w:rPr>
  </w:style>
  <w:style w:type="character" w:styleId="nfasis">
    <w:name w:val="Emphasis"/>
    <w:uiPriority w:val="20"/>
    <w:qFormat/>
    <w:rsid w:val="00CA0653"/>
    <w:rPr>
      <w:caps/>
      <w:spacing w:val="5"/>
      <w:sz w:val="20"/>
      <w:szCs w:val="20"/>
    </w:rPr>
  </w:style>
  <w:style w:type="paragraph" w:styleId="Cita">
    <w:name w:val="Quote"/>
    <w:basedOn w:val="Normal"/>
    <w:next w:val="Normal"/>
    <w:link w:val="CitaCar"/>
    <w:uiPriority w:val="29"/>
    <w:qFormat/>
    <w:rsid w:val="00CA0653"/>
    <w:pPr>
      <w:spacing w:after="200" w:line="252" w:lineRule="auto"/>
    </w:pPr>
    <w:rPr>
      <w:rFonts w:asciiTheme="majorHAnsi" w:eastAsiaTheme="majorEastAsia" w:hAnsiTheme="majorHAnsi" w:cstheme="majorBidi"/>
      <w:i/>
      <w:iCs/>
      <w:lang w:eastAsia="es-GT"/>
    </w:rPr>
  </w:style>
  <w:style w:type="character" w:customStyle="1" w:styleId="CitaCar">
    <w:name w:val="Cita Car"/>
    <w:basedOn w:val="Fuentedeprrafopredeter"/>
    <w:link w:val="Cita"/>
    <w:uiPriority w:val="29"/>
    <w:rsid w:val="00CA0653"/>
    <w:rPr>
      <w:rFonts w:asciiTheme="majorHAnsi" w:eastAsiaTheme="majorEastAsia" w:hAnsiTheme="majorHAnsi" w:cstheme="majorBidi"/>
      <w:i/>
      <w:iCs/>
      <w:lang w:eastAsia="es-GT"/>
    </w:rPr>
  </w:style>
  <w:style w:type="paragraph" w:styleId="Citadestacada">
    <w:name w:val="Intense Quote"/>
    <w:basedOn w:val="Normal"/>
    <w:next w:val="Normal"/>
    <w:link w:val="CitadestacadaCar"/>
    <w:uiPriority w:val="30"/>
    <w:qFormat/>
    <w:rsid w:val="00CA0653"/>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sz w:val="20"/>
      <w:szCs w:val="20"/>
      <w:lang w:eastAsia="es-GT"/>
    </w:rPr>
  </w:style>
  <w:style w:type="character" w:customStyle="1" w:styleId="CitadestacadaCar">
    <w:name w:val="Cita destacada Car"/>
    <w:basedOn w:val="Fuentedeprrafopredeter"/>
    <w:link w:val="Citadestacada"/>
    <w:uiPriority w:val="30"/>
    <w:rsid w:val="00CA0653"/>
    <w:rPr>
      <w:rFonts w:asciiTheme="majorHAnsi" w:eastAsiaTheme="majorEastAsia" w:hAnsiTheme="majorHAnsi" w:cstheme="majorBidi"/>
      <w:caps/>
      <w:color w:val="823B0B" w:themeColor="accent2" w:themeShade="7F"/>
      <w:spacing w:val="5"/>
      <w:sz w:val="20"/>
      <w:szCs w:val="20"/>
      <w:lang w:eastAsia="es-GT"/>
    </w:rPr>
  </w:style>
  <w:style w:type="character" w:styleId="nfasissutil">
    <w:name w:val="Subtle Emphasis"/>
    <w:uiPriority w:val="19"/>
    <w:qFormat/>
    <w:rsid w:val="00CA0653"/>
    <w:rPr>
      <w:i/>
      <w:iCs/>
    </w:rPr>
  </w:style>
  <w:style w:type="character" w:styleId="nfasisintenso">
    <w:name w:val="Intense Emphasis"/>
    <w:uiPriority w:val="21"/>
    <w:qFormat/>
    <w:rsid w:val="00CA0653"/>
    <w:rPr>
      <w:i/>
      <w:iCs/>
      <w:caps/>
      <w:spacing w:val="10"/>
      <w:sz w:val="20"/>
      <w:szCs w:val="20"/>
    </w:rPr>
  </w:style>
  <w:style w:type="character" w:styleId="Referenciasutil">
    <w:name w:val="Subtle Reference"/>
    <w:basedOn w:val="Fuentedeprrafopredeter"/>
    <w:uiPriority w:val="31"/>
    <w:qFormat/>
    <w:rsid w:val="00CA0653"/>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CA0653"/>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CA0653"/>
    <w:rPr>
      <w:caps/>
      <w:color w:val="823B0B" w:themeColor="accent2" w:themeShade="7F"/>
      <w:spacing w:val="5"/>
      <w:u w:color="823B0B" w:themeColor="accent2" w:themeShade="7F"/>
    </w:rPr>
  </w:style>
  <w:style w:type="table" w:customStyle="1" w:styleId="Tabladecuadrcula4-nfasis21">
    <w:name w:val="Tabla de cuadrícula 4 - Énfasis 21"/>
    <w:basedOn w:val="Tablanormal"/>
    <w:uiPriority w:val="49"/>
    <w:rsid w:val="00CA0653"/>
    <w:pPr>
      <w:spacing w:after="0" w:line="240" w:lineRule="auto"/>
    </w:pPr>
    <w:rPr>
      <w:rFonts w:asciiTheme="majorHAnsi" w:eastAsiaTheme="majorEastAsia" w:hAnsiTheme="majorHAnsi" w:cstheme="majorBidi"/>
      <w:lang w:eastAsia="es-GT"/>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visin">
    <w:name w:val="Revision"/>
    <w:hidden/>
    <w:uiPriority w:val="99"/>
    <w:semiHidden/>
    <w:rsid w:val="002E6FED"/>
    <w:pPr>
      <w:spacing w:after="0" w:line="240" w:lineRule="auto"/>
    </w:pPr>
    <w:rPr>
      <w:rFonts w:ascii="Candara" w:eastAsia="Calibri" w:hAnsi="Candara" w:cs="Times New Roman"/>
    </w:rPr>
  </w:style>
  <w:style w:type="table" w:customStyle="1" w:styleId="Tabladecuadrcula5oscura-nfasis51">
    <w:name w:val="Tabla de cuadrícula 5 oscura - Énfasis 51"/>
    <w:basedOn w:val="Tablanormal"/>
    <w:uiPriority w:val="50"/>
    <w:rsid w:val="002E6FE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
    <w:name w:val="Tabla de lista 3 - Énfasis 51"/>
    <w:basedOn w:val="Tablanormal"/>
    <w:uiPriority w:val="48"/>
    <w:rsid w:val="002E6FED"/>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nfasis11">
    <w:name w:val="Tabla de lista 4 - Énfasis 11"/>
    <w:basedOn w:val="Tablanormal"/>
    <w:uiPriority w:val="49"/>
    <w:rsid w:val="002E6FE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2E6FE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
    <w:name w:val="Tabla de cuadrícula 6 con colores - Énfasis 51"/>
    <w:basedOn w:val="Tablanormal"/>
    <w:uiPriority w:val="51"/>
    <w:rsid w:val="002E6FED"/>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3">
    <w:name w:val="Tabla de cuadrícula 4 - Énfasis 13"/>
    <w:basedOn w:val="Tablanormal"/>
    <w:uiPriority w:val="49"/>
    <w:rsid w:val="00723A86"/>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vistosa-nfasis5">
    <w:name w:val="Colorful Grid Accent 5"/>
    <w:basedOn w:val="Tablanormal"/>
    <w:uiPriority w:val="73"/>
    <w:rsid w:val="00AF2B7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ndice1">
    <w:name w:val="index 1"/>
    <w:basedOn w:val="Normal"/>
    <w:next w:val="Normal"/>
    <w:autoRedefine/>
    <w:uiPriority w:val="99"/>
    <w:semiHidden/>
    <w:unhideWhenUsed/>
    <w:rsid w:val="00F36835"/>
    <w:pPr>
      <w:spacing w:after="0" w:line="240" w:lineRule="auto"/>
      <w:ind w:left="220" w:hanging="220"/>
    </w:pPr>
  </w:style>
  <w:style w:type="paragraph" w:styleId="TDC2">
    <w:name w:val="toc 2"/>
    <w:basedOn w:val="Normal"/>
    <w:next w:val="Normal"/>
    <w:autoRedefine/>
    <w:uiPriority w:val="39"/>
    <w:unhideWhenUsed/>
    <w:rsid w:val="00142D6B"/>
    <w:pPr>
      <w:tabs>
        <w:tab w:val="left" w:pos="880"/>
        <w:tab w:val="right" w:leader="dot" w:pos="9204"/>
      </w:tabs>
      <w:spacing w:after="100"/>
      <w:ind w:left="142"/>
    </w:pPr>
    <w:rPr>
      <w:rFonts w:eastAsiaTheme="minorEastAsia" w:cs="Times New Roman"/>
      <w:lang w:eastAsia="es-GT"/>
    </w:rPr>
  </w:style>
  <w:style w:type="paragraph" w:styleId="TDC3">
    <w:name w:val="toc 3"/>
    <w:basedOn w:val="Normal"/>
    <w:next w:val="Normal"/>
    <w:autoRedefine/>
    <w:uiPriority w:val="39"/>
    <w:unhideWhenUsed/>
    <w:rsid w:val="00E461C5"/>
    <w:pPr>
      <w:tabs>
        <w:tab w:val="left" w:pos="1100"/>
        <w:tab w:val="right" w:leader="dot" w:pos="9204"/>
      </w:tabs>
      <w:spacing w:after="100"/>
      <w:ind w:left="440"/>
      <w:jc w:val="left"/>
    </w:pPr>
    <w:rPr>
      <w:rFonts w:eastAsiaTheme="minorEastAsia" w:cs="Times New Roman"/>
      <w:lang w:eastAsia="es-GT"/>
    </w:rPr>
  </w:style>
  <w:style w:type="paragraph" w:styleId="Tabladeilustraciones">
    <w:name w:val="table of figures"/>
    <w:basedOn w:val="Normal"/>
    <w:next w:val="Normal"/>
    <w:uiPriority w:val="99"/>
    <w:semiHidden/>
    <w:unhideWhenUsed/>
    <w:rsid w:val="0084599E"/>
    <w:pPr>
      <w:spacing w:after="0"/>
    </w:pPr>
  </w:style>
  <w:style w:type="table" w:customStyle="1" w:styleId="Tabladecuadrcula5oscura-nfasis120">
    <w:name w:val="Tabla de cuadrícula 5 oscura - Énfasis 12"/>
    <w:basedOn w:val="Tablanormal"/>
    <w:next w:val="Tabladecuadrcula5oscura-nfasis12"/>
    <w:uiPriority w:val="50"/>
    <w:rsid w:val="00C567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Sinlista1">
    <w:name w:val="Sin lista1"/>
    <w:next w:val="Sinlista"/>
    <w:uiPriority w:val="99"/>
    <w:semiHidden/>
    <w:unhideWhenUsed/>
    <w:rsid w:val="00F91213"/>
  </w:style>
  <w:style w:type="table" w:customStyle="1" w:styleId="Tabladecuadrcula5oscura-nfasis511">
    <w:name w:val="Tabla de cuadrícula 5 oscura - Énfasis 511"/>
    <w:basedOn w:val="Tablanormal"/>
    <w:uiPriority w:val="50"/>
    <w:rsid w:val="00F912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lista3-nfasis511">
    <w:name w:val="Tabla de lista 3 - Énfasis 511"/>
    <w:basedOn w:val="Tablanormal"/>
    <w:uiPriority w:val="48"/>
    <w:rsid w:val="00F91213"/>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lista4-nfasis111">
    <w:name w:val="Tabla de lista 4 - Énfasis 111"/>
    <w:basedOn w:val="Tablanormal"/>
    <w:uiPriority w:val="49"/>
    <w:rsid w:val="00F91213"/>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1">
    <w:name w:val="Tabla de cuadrícula 4 - Énfasis 511"/>
    <w:basedOn w:val="Tablanormal"/>
    <w:uiPriority w:val="49"/>
    <w:rsid w:val="00F9121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511">
    <w:name w:val="Tabla de cuadrícula 6 con colores - Énfasis 511"/>
    <w:basedOn w:val="Tablanormal"/>
    <w:uiPriority w:val="51"/>
    <w:rsid w:val="00F9121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3">
    <w:name w:val="Tabla de cuadrícula 5 oscura - Énfasis 13"/>
    <w:basedOn w:val="Tablanormal"/>
    <w:next w:val="Tabladecuadrcula5oscura-nfasis12"/>
    <w:uiPriority w:val="50"/>
    <w:rsid w:val="00F9121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1">
    <w:name w:val="Tabla de cuadrícula 4 - Énfasis 111"/>
    <w:basedOn w:val="Tablanormal"/>
    <w:uiPriority w:val="49"/>
    <w:rsid w:val="0068155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111">
    <w:name w:val="Tabla de cuadrícula 5 oscura - Énfasis 111"/>
    <w:basedOn w:val="Tablanormal"/>
    <w:uiPriority w:val="50"/>
    <w:rsid w:val="0078016B"/>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Sombreadomedio1-nfasis1">
    <w:name w:val="Medium Shading 1 Accent 1"/>
    <w:basedOn w:val="Tablanormal"/>
    <w:uiPriority w:val="63"/>
    <w:rsid w:val="00DB63D8"/>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adecuadrcula5oscura-nfasis112">
    <w:name w:val="Tabla de cuadrícula 5 oscura - Énfasis 112"/>
    <w:basedOn w:val="Tablanormal"/>
    <w:uiPriority w:val="50"/>
    <w:rsid w:val="0062349D"/>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113">
    <w:name w:val="Tabla de cuadrícula 5 oscura - Énfasis 113"/>
    <w:basedOn w:val="Tablanormal"/>
    <w:uiPriority w:val="50"/>
    <w:rsid w:val="006A25D7"/>
    <w:pPr>
      <w:spacing w:after="0" w:line="240" w:lineRule="auto"/>
    </w:pPr>
    <w:rPr>
      <w:rFonts w:eastAsiaTheme="minorEastAsia"/>
      <w:sz w:val="21"/>
      <w:szCs w:val="2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footnotedescription">
    <w:name w:val="footnote description"/>
    <w:next w:val="Normal"/>
    <w:link w:val="footnotedescriptionChar"/>
    <w:hidden/>
    <w:rsid w:val="007223FB"/>
    <w:pPr>
      <w:spacing w:after="0" w:line="248" w:lineRule="auto"/>
      <w:ind w:left="283" w:right="9"/>
      <w:jc w:val="both"/>
    </w:pPr>
    <w:rPr>
      <w:rFonts w:ascii="Arial" w:eastAsia="Arial" w:hAnsi="Arial" w:cs="Arial"/>
      <w:color w:val="000000"/>
      <w:sz w:val="16"/>
      <w:lang w:eastAsia="es-GT"/>
    </w:rPr>
  </w:style>
  <w:style w:type="character" w:customStyle="1" w:styleId="footnotedescriptionChar">
    <w:name w:val="footnote description Char"/>
    <w:link w:val="footnotedescription"/>
    <w:rsid w:val="007223FB"/>
    <w:rPr>
      <w:rFonts w:ascii="Arial" w:eastAsia="Arial" w:hAnsi="Arial" w:cs="Arial"/>
      <w:color w:val="000000"/>
      <w:sz w:val="16"/>
      <w:lang w:eastAsia="es-GT"/>
    </w:rPr>
  </w:style>
  <w:style w:type="character" w:customStyle="1" w:styleId="footnotemark">
    <w:name w:val="footnote mark"/>
    <w:hidden/>
    <w:rsid w:val="007223FB"/>
    <w:rPr>
      <w:rFonts w:ascii="Arial" w:eastAsia="Arial" w:hAnsi="Arial" w:cs="Arial"/>
      <w:color w:val="000000"/>
      <w:sz w:val="16"/>
      <w:vertAlign w:val="superscript"/>
    </w:rPr>
  </w:style>
  <w:style w:type="table" w:customStyle="1" w:styleId="TableGrid">
    <w:name w:val="TableGrid"/>
    <w:rsid w:val="007223FB"/>
    <w:pPr>
      <w:spacing w:after="0" w:line="240" w:lineRule="auto"/>
    </w:pPr>
    <w:rPr>
      <w:rFonts w:eastAsiaTheme="minorEastAsia"/>
      <w:lang w:eastAsia="es-GT"/>
    </w:rPr>
    <w:tblPr>
      <w:tblCellMar>
        <w:top w:w="0" w:type="dxa"/>
        <w:left w:w="0" w:type="dxa"/>
        <w:bottom w:w="0" w:type="dxa"/>
        <w:right w:w="0" w:type="dxa"/>
      </w:tblCellMar>
    </w:tblPr>
  </w:style>
  <w:style w:type="table" w:styleId="Sombreadoclaro-nfasis1">
    <w:name w:val="Light Shading Accent 1"/>
    <w:basedOn w:val="Tablanormal"/>
    <w:uiPriority w:val="60"/>
    <w:rsid w:val="007223FB"/>
    <w:pPr>
      <w:spacing w:after="0" w:line="240" w:lineRule="auto"/>
    </w:pPr>
    <w:rPr>
      <w:rFonts w:ascii="Arial" w:hAnsi="Arial"/>
      <w:color w:val="2E74B5" w:themeColor="accent1" w:themeShade="BF"/>
      <w:sz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anormal31">
    <w:name w:val="Tabla normal 31"/>
    <w:basedOn w:val="Tablanormal"/>
    <w:uiPriority w:val="43"/>
    <w:rsid w:val="007223FB"/>
    <w:pPr>
      <w:spacing w:after="0" w:line="240" w:lineRule="auto"/>
    </w:pPr>
    <w:rPr>
      <w:rFonts w:eastAsiaTheme="minorEastAsia"/>
      <w:lang w:eastAsia="es-GT"/>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61">
    <w:name w:val="Tabla de cuadrícula 5 oscura - Énfasis 61"/>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Cuadrculaclara-nfasis1">
    <w:name w:val="Light Grid Accent 1"/>
    <w:basedOn w:val="Tablanormal"/>
    <w:uiPriority w:val="62"/>
    <w:rsid w:val="007223FB"/>
    <w:pPr>
      <w:spacing w:after="0" w:line="240" w:lineRule="auto"/>
    </w:pPr>
    <w:rPr>
      <w:rFonts w:ascii="Arial" w:hAnsi="Arial"/>
      <w:sz w:val="24"/>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Tabladecuadrcula5oscura-nfasis52">
    <w:name w:val="Tabla de cuadrícula 5 oscura - Énfasis 52"/>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11">
    <w:name w:val="Tabla de cuadrícula 2 - Énfasis 11"/>
    <w:basedOn w:val="Tablanormal"/>
    <w:uiPriority w:val="47"/>
    <w:rsid w:val="007223FB"/>
    <w:pPr>
      <w:spacing w:after="0" w:line="240" w:lineRule="auto"/>
    </w:pPr>
    <w:rPr>
      <w:rFonts w:eastAsiaTheme="minorEastAsia"/>
      <w:lang w:eastAsia="es-GT"/>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4">
    <w:name w:val="Tabla de cuadrícula 4 - Énfasis 14"/>
    <w:basedOn w:val="Tablanormal"/>
    <w:uiPriority w:val="49"/>
    <w:rsid w:val="007223F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Cuadrculamedia3-nfasis1">
    <w:name w:val="Medium Grid 3 Accent 1"/>
    <w:basedOn w:val="Tablanormal"/>
    <w:uiPriority w:val="69"/>
    <w:rsid w:val="007223FB"/>
    <w:pPr>
      <w:spacing w:after="0" w:line="240" w:lineRule="auto"/>
    </w:pPr>
    <w:rPr>
      <w:rFonts w:eastAsiaTheme="minorEastAsia"/>
      <w:lang w:eastAsia="es-G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3-nfasis5">
    <w:name w:val="Medium Grid 3 Accent 5"/>
    <w:basedOn w:val="Tablanormal"/>
    <w:uiPriority w:val="69"/>
    <w:rsid w:val="007223FB"/>
    <w:pPr>
      <w:spacing w:after="0" w:line="240" w:lineRule="auto"/>
    </w:pPr>
    <w:rPr>
      <w:rFonts w:eastAsiaTheme="minorEastAsia"/>
      <w:lang w:eastAsia="es-GT"/>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Tabladecuadrcula4-nfasis52">
    <w:name w:val="Tabla de cuadrícula 4 - Énfasis 52"/>
    <w:basedOn w:val="Tablanormal"/>
    <w:uiPriority w:val="49"/>
    <w:rsid w:val="007223FB"/>
    <w:pPr>
      <w:spacing w:after="0" w:line="240" w:lineRule="auto"/>
    </w:pPr>
    <w:rPr>
      <w:rFonts w:eastAsiaTheme="minorEastAsia"/>
      <w:lang w:eastAsia="es-GT"/>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5oscura-nfasis14">
    <w:name w:val="Tabla de cuadrícula 5 oscura - Énfasis 14"/>
    <w:basedOn w:val="Tablanormal"/>
    <w:uiPriority w:val="50"/>
    <w:rsid w:val="007223FB"/>
    <w:pPr>
      <w:spacing w:after="0" w:line="240" w:lineRule="auto"/>
    </w:pPr>
    <w:rPr>
      <w:rFonts w:eastAsiaTheme="minorEastAsia"/>
      <w:lang w:eastAsia="es-G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DC4">
    <w:name w:val="toc 4"/>
    <w:basedOn w:val="Normal"/>
    <w:next w:val="Normal"/>
    <w:autoRedefine/>
    <w:uiPriority w:val="39"/>
    <w:unhideWhenUsed/>
    <w:rsid w:val="009B30CD"/>
    <w:pPr>
      <w:spacing w:after="100"/>
      <w:ind w:left="660"/>
    </w:pPr>
  </w:style>
  <w:style w:type="paragraph" w:styleId="TDC5">
    <w:name w:val="toc 5"/>
    <w:basedOn w:val="Normal"/>
    <w:next w:val="Normal"/>
    <w:autoRedefine/>
    <w:uiPriority w:val="39"/>
    <w:unhideWhenUsed/>
    <w:rsid w:val="00985E6E"/>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265">
      <w:bodyDiv w:val="1"/>
      <w:marLeft w:val="0"/>
      <w:marRight w:val="0"/>
      <w:marTop w:val="0"/>
      <w:marBottom w:val="0"/>
      <w:divBdr>
        <w:top w:val="none" w:sz="0" w:space="0" w:color="auto"/>
        <w:left w:val="none" w:sz="0" w:space="0" w:color="auto"/>
        <w:bottom w:val="none" w:sz="0" w:space="0" w:color="auto"/>
        <w:right w:val="none" w:sz="0" w:space="0" w:color="auto"/>
      </w:divBdr>
    </w:div>
    <w:div w:id="4483878">
      <w:bodyDiv w:val="1"/>
      <w:marLeft w:val="0"/>
      <w:marRight w:val="0"/>
      <w:marTop w:val="0"/>
      <w:marBottom w:val="0"/>
      <w:divBdr>
        <w:top w:val="none" w:sz="0" w:space="0" w:color="auto"/>
        <w:left w:val="none" w:sz="0" w:space="0" w:color="auto"/>
        <w:bottom w:val="none" w:sz="0" w:space="0" w:color="auto"/>
        <w:right w:val="none" w:sz="0" w:space="0" w:color="auto"/>
      </w:divBdr>
    </w:div>
    <w:div w:id="37122574">
      <w:bodyDiv w:val="1"/>
      <w:marLeft w:val="0"/>
      <w:marRight w:val="0"/>
      <w:marTop w:val="0"/>
      <w:marBottom w:val="0"/>
      <w:divBdr>
        <w:top w:val="none" w:sz="0" w:space="0" w:color="auto"/>
        <w:left w:val="none" w:sz="0" w:space="0" w:color="auto"/>
        <w:bottom w:val="none" w:sz="0" w:space="0" w:color="auto"/>
        <w:right w:val="none" w:sz="0" w:space="0" w:color="auto"/>
      </w:divBdr>
    </w:div>
    <w:div w:id="51586870">
      <w:bodyDiv w:val="1"/>
      <w:marLeft w:val="0"/>
      <w:marRight w:val="0"/>
      <w:marTop w:val="0"/>
      <w:marBottom w:val="0"/>
      <w:divBdr>
        <w:top w:val="none" w:sz="0" w:space="0" w:color="auto"/>
        <w:left w:val="none" w:sz="0" w:space="0" w:color="auto"/>
        <w:bottom w:val="none" w:sz="0" w:space="0" w:color="auto"/>
        <w:right w:val="none" w:sz="0" w:space="0" w:color="auto"/>
      </w:divBdr>
    </w:div>
    <w:div w:id="58745877">
      <w:bodyDiv w:val="1"/>
      <w:marLeft w:val="0"/>
      <w:marRight w:val="0"/>
      <w:marTop w:val="0"/>
      <w:marBottom w:val="0"/>
      <w:divBdr>
        <w:top w:val="none" w:sz="0" w:space="0" w:color="auto"/>
        <w:left w:val="none" w:sz="0" w:space="0" w:color="auto"/>
        <w:bottom w:val="none" w:sz="0" w:space="0" w:color="auto"/>
        <w:right w:val="none" w:sz="0" w:space="0" w:color="auto"/>
      </w:divBdr>
    </w:div>
    <w:div w:id="61296786">
      <w:bodyDiv w:val="1"/>
      <w:marLeft w:val="0"/>
      <w:marRight w:val="0"/>
      <w:marTop w:val="0"/>
      <w:marBottom w:val="0"/>
      <w:divBdr>
        <w:top w:val="none" w:sz="0" w:space="0" w:color="auto"/>
        <w:left w:val="none" w:sz="0" w:space="0" w:color="auto"/>
        <w:bottom w:val="none" w:sz="0" w:space="0" w:color="auto"/>
        <w:right w:val="none" w:sz="0" w:space="0" w:color="auto"/>
      </w:divBdr>
    </w:div>
    <w:div w:id="62335972">
      <w:bodyDiv w:val="1"/>
      <w:marLeft w:val="0"/>
      <w:marRight w:val="0"/>
      <w:marTop w:val="0"/>
      <w:marBottom w:val="0"/>
      <w:divBdr>
        <w:top w:val="none" w:sz="0" w:space="0" w:color="auto"/>
        <w:left w:val="none" w:sz="0" w:space="0" w:color="auto"/>
        <w:bottom w:val="none" w:sz="0" w:space="0" w:color="auto"/>
        <w:right w:val="none" w:sz="0" w:space="0" w:color="auto"/>
      </w:divBdr>
    </w:div>
    <w:div w:id="69736182">
      <w:bodyDiv w:val="1"/>
      <w:marLeft w:val="0"/>
      <w:marRight w:val="0"/>
      <w:marTop w:val="0"/>
      <w:marBottom w:val="0"/>
      <w:divBdr>
        <w:top w:val="none" w:sz="0" w:space="0" w:color="auto"/>
        <w:left w:val="none" w:sz="0" w:space="0" w:color="auto"/>
        <w:bottom w:val="none" w:sz="0" w:space="0" w:color="auto"/>
        <w:right w:val="none" w:sz="0" w:space="0" w:color="auto"/>
      </w:divBdr>
    </w:div>
    <w:div w:id="72625026">
      <w:bodyDiv w:val="1"/>
      <w:marLeft w:val="0"/>
      <w:marRight w:val="0"/>
      <w:marTop w:val="0"/>
      <w:marBottom w:val="0"/>
      <w:divBdr>
        <w:top w:val="none" w:sz="0" w:space="0" w:color="auto"/>
        <w:left w:val="none" w:sz="0" w:space="0" w:color="auto"/>
        <w:bottom w:val="none" w:sz="0" w:space="0" w:color="auto"/>
        <w:right w:val="none" w:sz="0" w:space="0" w:color="auto"/>
      </w:divBdr>
    </w:div>
    <w:div w:id="75639983">
      <w:bodyDiv w:val="1"/>
      <w:marLeft w:val="0"/>
      <w:marRight w:val="0"/>
      <w:marTop w:val="0"/>
      <w:marBottom w:val="0"/>
      <w:divBdr>
        <w:top w:val="none" w:sz="0" w:space="0" w:color="auto"/>
        <w:left w:val="none" w:sz="0" w:space="0" w:color="auto"/>
        <w:bottom w:val="none" w:sz="0" w:space="0" w:color="auto"/>
        <w:right w:val="none" w:sz="0" w:space="0" w:color="auto"/>
      </w:divBdr>
    </w:div>
    <w:div w:id="94520186">
      <w:bodyDiv w:val="1"/>
      <w:marLeft w:val="0"/>
      <w:marRight w:val="0"/>
      <w:marTop w:val="0"/>
      <w:marBottom w:val="0"/>
      <w:divBdr>
        <w:top w:val="none" w:sz="0" w:space="0" w:color="auto"/>
        <w:left w:val="none" w:sz="0" w:space="0" w:color="auto"/>
        <w:bottom w:val="none" w:sz="0" w:space="0" w:color="auto"/>
        <w:right w:val="none" w:sz="0" w:space="0" w:color="auto"/>
      </w:divBdr>
    </w:div>
    <w:div w:id="119300178">
      <w:bodyDiv w:val="1"/>
      <w:marLeft w:val="0"/>
      <w:marRight w:val="0"/>
      <w:marTop w:val="0"/>
      <w:marBottom w:val="0"/>
      <w:divBdr>
        <w:top w:val="none" w:sz="0" w:space="0" w:color="auto"/>
        <w:left w:val="none" w:sz="0" w:space="0" w:color="auto"/>
        <w:bottom w:val="none" w:sz="0" w:space="0" w:color="auto"/>
        <w:right w:val="none" w:sz="0" w:space="0" w:color="auto"/>
      </w:divBdr>
    </w:div>
    <w:div w:id="120850730">
      <w:bodyDiv w:val="1"/>
      <w:marLeft w:val="0"/>
      <w:marRight w:val="0"/>
      <w:marTop w:val="0"/>
      <w:marBottom w:val="0"/>
      <w:divBdr>
        <w:top w:val="none" w:sz="0" w:space="0" w:color="auto"/>
        <w:left w:val="none" w:sz="0" w:space="0" w:color="auto"/>
        <w:bottom w:val="none" w:sz="0" w:space="0" w:color="auto"/>
        <w:right w:val="none" w:sz="0" w:space="0" w:color="auto"/>
      </w:divBdr>
    </w:div>
    <w:div w:id="140583534">
      <w:bodyDiv w:val="1"/>
      <w:marLeft w:val="0"/>
      <w:marRight w:val="0"/>
      <w:marTop w:val="0"/>
      <w:marBottom w:val="0"/>
      <w:divBdr>
        <w:top w:val="none" w:sz="0" w:space="0" w:color="auto"/>
        <w:left w:val="none" w:sz="0" w:space="0" w:color="auto"/>
        <w:bottom w:val="none" w:sz="0" w:space="0" w:color="auto"/>
        <w:right w:val="none" w:sz="0" w:space="0" w:color="auto"/>
      </w:divBdr>
    </w:div>
    <w:div w:id="143476459">
      <w:bodyDiv w:val="1"/>
      <w:marLeft w:val="0"/>
      <w:marRight w:val="0"/>
      <w:marTop w:val="0"/>
      <w:marBottom w:val="0"/>
      <w:divBdr>
        <w:top w:val="none" w:sz="0" w:space="0" w:color="auto"/>
        <w:left w:val="none" w:sz="0" w:space="0" w:color="auto"/>
        <w:bottom w:val="none" w:sz="0" w:space="0" w:color="auto"/>
        <w:right w:val="none" w:sz="0" w:space="0" w:color="auto"/>
      </w:divBdr>
    </w:div>
    <w:div w:id="152840390">
      <w:bodyDiv w:val="1"/>
      <w:marLeft w:val="0"/>
      <w:marRight w:val="0"/>
      <w:marTop w:val="0"/>
      <w:marBottom w:val="0"/>
      <w:divBdr>
        <w:top w:val="none" w:sz="0" w:space="0" w:color="auto"/>
        <w:left w:val="none" w:sz="0" w:space="0" w:color="auto"/>
        <w:bottom w:val="none" w:sz="0" w:space="0" w:color="auto"/>
        <w:right w:val="none" w:sz="0" w:space="0" w:color="auto"/>
      </w:divBdr>
    </w:div>
    <w:div w:id="155152457">
      <w:bodyDiv w:val="1"/>
      <w:marLeft w:val="0"/>
      <w:marRight w:val="0"/>
      <w:marTop w:val="0"/>
      <w:marBottom w:val="0"/>
      <w:divBdr>
        <w:top w:val="none" w:sz="0" w:space="0" w:color="auto"/>
        <w:left w:val="none" w:sz="0" w:space="0" w:color="auto"/>
        <w:bottom w:val="none" w:sz="0" w:space="0" w:color="auto"/>
        <w:right w:val="none" w:sz="0" w:space="0" w:color="auto"/>
      </w:divBdr>
    </w:div>
    <w:div w:id="162287341">
      <w:bodyDiv w:val="1"/>
      <w:marLeft w:val="0"/>
      <w:marRight w:val="0"/>
      <w:marTop w:val="0"/>
      <w:marBottom w:val="0"/>
      <w:divBdr>
        <w:top w:val="none" w:sz="0" w:space="0" w:color="auto"/>
        <w:left w:val="none" w:sz="0" w:space="0" w:color="auto"/>
        <w:bottom w:val="none" w:sz="0" w:space="0" w:color="auto"/>
        <w:right w:val="none" w:sz="0" w:space="0" w:color="auto"/>
      </w:divBdr>
    </w:div>
    <w:div w:id="177471723">
      <w:bodyDiv w:val="1"/>
      <w:marLeft w:val="0"/>
      <w:marRight w:val="0"/>
      <w:marTop w:val="0"/>
      <w:marBottom w:val="0"/>
      <w:divBdr>
        <w:top w:val="none" w:sz="0" w:space="0" w:color="auto"/>
        <w:left w:val="none" w:sz="0" w:space="0" w:color="auto"/>
        <w:bottom w:val="none" w:sz="0" w:space="0" w:color="auto"/>
        <w:right w:val="none" w:sz="0" w:space="0" w:color="auto"/>
      </w:divBdr>
    </w:div>
    <w:div w:id="181674875">
      <w:bodyDiv w:val="1"/>
      <w:marLeft w:val="0"/>
      <w:marRight w:val="0"/>
      <w:marTop w:val="0"/>
      <w:marBottom w:val="0"/>
      <w:divBdr>
        <w:top w:val="none" w:sz="0" w:space="0" w:color="auto"/>
        <w:left w:val="none" w:sz="0" w:space="0" w:color="auto"/>
        <w:bottom w:val="none" w:sz="0" w:space="0" w:color="auto"/>
        <w:right w:val="none" w:sz="0" w:space="0" w:color="auto"/>
      </w:divBdr>
    </w:div>
    <w:div w:id="194656271">
      <w:bodyDiv w:val="1"/>
      <w:marLeft w:val="0"/>
      <w:marRight w:val="0"/>
      <w:marTop w:val="0"/>
      <w:marBottom w:val="0"/>
      <w:divBdr>
        <w:top w:val="none" w:sz="0" w:space="0" w:color="auto"/>
        <w:left w:val="none" w:sz="0" w:space="0" w:color="auto"/>
        <w:bottom w:val="none" w:sz="0" w:space="0" w:color="auto"/>
        <w:right w:val="none" w:sz="0" w:space="0" w:color="auto"/>
      </w:divBdr>
    </w:div>
    <w:div w:id="207424426">
      <w:bodyDiv w:val="1"/>
      <w:marLeft w:val="0"/>
      <w:marRight w:val="0"/>
      <w:marTop w:val="0"/>
      <w:marBottom w:val="0"/>
      <w:divBdr>
        <w:top w:val="none" w:sz="0" w:space="0" w:color="auto"/>
        <w:left w:val="none" w:sz="0" w:space="0" w:color="auto"/>
        <w:bottom w:val="none" w:sz="0" w:space="0" w:color="auto"/>
        <w:right w:val="none" w:sz="0" w:space="0" w:color="auto"/>
      </w:divBdr>
    </w:div>
    <w:div w:id="222496496">
      <w:bodyDiv w:val="1"/>
      <w:marLeft w:val="0"/>
      <w:marRight w:val="0"/>
      <w:marTop w:val="0"/>
      <w:marBottom w:val="0"/>
      <w:divBdr>
        <w:top w:val="none" w:sz="0" w:space="0" w:color="auto"/>
        <w:left w:val="none" w:sz="0" w:space="0" w:color="auto"/>
        <w:bottom w:val="none" w:sz="0" w:space="0" w:color="auto"/>
        <w:right w:val="none" w:sz="0" w:space="0" w:color="auto"/>
      </w:divBdr>
    </w:div>
    <w:div w:id="225381193">
      <w:bodyDiv w:val="1"/>
      <w:marLeft w:val="0"/>
      <w:marRight w:val="0"/>
      <w:marTop w:val="0"/>
      <w:marBottom w:val="0"/>
      <w:divBdr>
        <w:top w:val="none" w:sz="0" w:space="0" w:color="auto"/>
        <w:left w:val="none" w:sz="0" w:space="0" w:color="auto"/>
        <w:bottom w:val="none" w:sz="0" w:space="0" w:color="auto"/>
        <w:right w:val="none" w:sz="0" w:space="0" w:color="auto"/>
      </w:divBdr>
    </w:div>
    <w:div w:id="234362968">
      <w:bodyDiv w:val="1"/>
      <w:marLeft w:val="0"/>
      <w:marRight w:val="0"/>
      <w:marTop w:val="0"/>
      <w:marBottom w:val="0"/>
      <w:divBdr>
        <w:top w:val="none" w:sz="0" w:space="0" w:color="auto"/>
        <w:left w:val="none" w:sz="0" w:space="0" w:color="auto"/>
        <w:bottom w:val="none" w:sz="0" w:space="0" w:color="auto"/>
        <w:right w:val="none" w:sz="0" w:space="0" w:color="auto"/>
      </w:divBdr>
    </w:div>
    <w:div w:id="238910921">
      <w:bodyDiv w:val="1"/>
      <w:marLeft w:val="0"/>
      <w:marRight w:val="0"/>
      <w:marTop w:val="0"/>
      <w:marBottom w:val="0"/>
      <w:divBdr>
        <w:top w:val="none" w:sz="0" w:space="0" w:color="auto"/>
        <w:left w:val="none" w:sz="0" w:space="0" w:color="auto"/>
        <w:bottom w:val="none" w:sz="0" w:space="0" w:color="auto"/>
        <w:right w:val="none" w:sz="0" w:space="0" w:color="auto"/>
      </w:divBdr>
    </w:div>
    <w:div w:id="246160982">
      <w:bodyDiv w:val="1"/>
      <w:marLeft w:val="0"/>
      <w:marRight w:val="0"/>
      <w:marTop w:val="0"/>
      <w:marBottom w:val="0"/>
      <w:divBdr>
        <w:top w:val="none" w:sz="0" w:space="0" w:color="auto"/>
        <w:left w:val="none" w:sz="0" w:space="0" w:color="auto"/>
        <w:bottom w:val="none" w:sz="0" w:space="0" w:color="auto"/>
        <w:right w:val="none" w:sz="0" w:space="0" w:color="auto"/>
      </w:divBdr>
    </w:div>
    <w:div w:id="251088376">
      <w:bodyDiv w:val="1"/>
      <w:marLeft w:val="0"/>
      <w:marRight w:val="0"/>
      <w:marTop w:val="0"/>
      <w:marBottom w:val="0"/>
      <w:divBdr>
        <w:top w:val="none" w:sz="0" w:space="0" w:color="auto"/>
        <w:left w:val="none" w:sz="0" w:space="0" w:color="auto"/>
        <w:bottom w:val="none" w:sz="0" w:space="0" w:color="auto"/>
        <w:right w:val="none" w:sz="0" w:space="0" w:color="auto"/>
      </w:divBdr>
    </w:div>
    <w:div w:id="270744609">
      <w:bodyDiv w:val="1"/>
      <w:marLeft w:val="0"/>
      <w:marRight w:val="0"/>
      <w:marTop w:val="0"/>
      <w:marBottom w:val="0"/>
      <w:divBdr>
        <w:top w:val="none" w:sz="0" w:space="0" w:color="auto"/>
        <w:left w:val="none" w:sz="0" w:space="0" w:color="auto"/>
        <w:bottom w:val="none" w:sz="0" w:space="0" w:color="auto"/>
        <w:right w:val="none" w:sz="0" w:space="0" w:color="auto"/>
      </w:divBdr>
    </w:div>
    <w:div w:id="308553809">
      <w:bodyDiv w:val="1"/>
      <w:marLeft w:val="0"/>
      <w:marRight w:val="0"/>
      <w:marTop w:val="0"/>
      <w:marBottom w:val="0"/>
      <w:divBdr>
        <w:top w:val="none" w:sz="0" w:space="0" w:color="auto"/>
        <w:left w:val="none" w:sz="0" w:space="0" w:color="auto"/>
        <w:bottom w:val="none" w:sz="0" w:space="0" w:color="auto"/>
        <w:right w:val="none" w:sz="0" w:space="0" w:color="auto"/>
      </w:divBdr>
    </w:div>
    <w:div w:id="337929952">
      <w:bodyDiv w:val="1"/>
      <w:marLeft w:val="0"/>
      <w:marRight w:val="0"/>
      <w:marTop w:val="0"/>
      <w:marBottom w:val="0"/>
      <w:divBdr>
        <w:top w:val="none" w:sz="0" w:space="0" w:color="auto"/>
        <w:left w:val="none" w:sz="0" w:space="0" w:color="auto"/>
        <w:bottom w:val="none" w:sz="0" w:space="0" w:color="auto"/>
        <w:right w:val="none" w:sz="0" w:space="0" w:color="auto"/>
      </w:divBdr>
    </w:div>
    <w:div w:id="341513504">
      <w:bodyDiv w:val="1"/>
      <w:marLeft w:val="0"/>
      <w:marRight w:val="0"/>
      <w:marTop w:val="0"/>
      <w:marBottom w:val="0"/>
      <w:divBdr>
        <w:top w:val="none" w:sz="0" w:space="0" w:color="auto"/>
        <w:left w:val="none" w:sz="0" w:space="0" w:color="auto"/>
        <w:bottom w:val="none" w:sz="0" w:space="0" w:color="auto"/>
        <w:right w:val="none" w:sz="0" w:space="0" w:color="auto"/>
      </w:divBdr>
    </w:div>
    <w:div w:id="342316770">
      <w:bodyDiv w:val="1"/>
      <w:marLeft w:val="0"/>
      <w:marRight w:val="0"/>
      <w:marTop w:val="0"/>
      <w:marBottom w:val="0"/>
      <w:divBdr>
        <w:top w:val="none" w:sz="0" w:space="0" w:color="auto"/>
        <w:left w:val="none" w:sz="0" w:space="0" w:color="auto"/>
        <w:bottom w:val="none" w:sz="0" w:space="0" w:color="auto"/>
        <w:right w:val="none" w:sz="0" w:space="0" w:color="auto"/>
      </w:divBdr>
    </w:div>
    <w:div w:id="348919709">
      <w:bodyDiv w:val="1"/>
      <w:marLeft w:val="0"/>
      <w:marRight w:val="0"/>
      <w:marTop w:val="0"/>
      <w:marBottom w:val="0"/>
      <w:divBdr>
        <w:top w:val="none" w:sz="0" w:space="0" w:color="auto"/>
        <w:left w:val="none" w:sz="0" w:space="0" w:color="auto"/>
        <w:bottom w:val="none" w:sz="0" w:space="0" w:color="auto"/>
        <w:right w:val="none" w:sz="0" w:space="0" w:color="auto"/>
      </w:divBdr>
    </w:div>
    <w:div w:id="372660077">
      <w:bodyDiv w:val="1"/>
      <w:marLeft w:val="0"/>
      <w:marRight w:val="0"/>
      <w:marTop w:val="0"/>
      <w:marBottom w:val="0"/>
      <w:divBdr>
        <w:top w:val="none" w:sz="0" w:space="0" w:color="auto"/>
        <w:left w:val="none" w:sz="0" w:space="0" w:color="auto"/>
        <w:bottom w:val="none" w:sz="0" w:space="0" w:color="auto"/>
        <w:right w:val="none" w:sz="0" w:space="0" w:color="auto"/>
      </w:divBdr>
    </w:div>
    <w:div w:id="375862348">
      <w:bodyDiv w:val="1"/>
      <w:marLeft w:val="0"/>
      <w:marRight w:val="0"/>
      <w:marTop w:val="0"/>
      <w:marBottom w:val="0"/>
      <w:divBdr>
        <w:top w:val="none" w:sz="0" w:space="0" w:color="auto"/>
        <w:left w:val="none" w:sz="0" w:space="0" w:color="auto"/>
        <w:bottom w:val="none" w:sz="0" w:space="0" w:color="auto"/>
        <w:right w:val="none" w:sz="0" w:space="0" w:color="auto"/>
      </w:divBdr>
    </w:div>
    <w:div w:id="413212171">
      <w:bodyDiv w:val="1"/>
      <w:marLeft w:val="0"/>
      <w:marRight w:val="0"/>
      <w:marTop w:val="0"/>
      <w:marBottom w:val="0"/>
      <w:divBdr>
        <w:top w:val="none" w:sz="0" w:space="0" w:color="auto"/>
        <w:left w:val="none" w:sz="0" w:space="0" w:color="auto"/>
        <w:bottom w:val="none" w:sz="0" w:space="0" w:color="auto"/>
        <w:right w:val="none" w:sz="0" w:space="0" w:color="auto"/>
      </w:divBdr>
    </w:div>
    <w:div w:id="420374923">
      <w:bodyDiv w:val="1"/>
      <w:marLeft w:val="0"/>
      <w:marRight w:val="0"/>
      <w:marTop w:val="0"/>
      <w:marBottom w:val="0"/>
      <w:divBdr>
        <w:top w:val="none" w:sz="0" w:space="0" w:color="auto"/>
        <w:left w:val="none" w:sz="0" w:space="0" w:color="auto"/>
        <w:bottom w:val="none" w:sz="0" w:space="0" w:color="auto"/>
        <w:right w:val="none" w:sz="0" w:space="0" w:color="auto"/>
      </w:divBdr>
    </w:div>
    <w:div w:id="442383557">
      <w:bodyDiv w:val="1"/>
      <w:marLeft w:val="0"/>
      <w:marRight w:val="0"/>
      <w:marTop w:val="0"/>
      <w:marBottom w:val="0"/>
      <w:divBdr>
        <w:top w:val="none" w:sz="0" w:space="0" w:color="auto"/>
        <w:left w:val="none" w:sz="0" w:space="0" w:color="auto"/>
        <w:bottom w:val="none" w:sz="0" w:space="0" w:color="auto"/>
        <w:right w:val="none" w:sz="0" w:space="0" w:color="auto"/>
      </w:divBdr>
    </w:div>
    <w:div w:id="445807216">
      <w:bodyDiv w:val="1"/>
      <w:marLeft w:val="0"/>
      <w:marRight w:val="0"/>
      <w:marTop w:val="0"/>
      <w:marBottom w:val="0"/>
      <w:divBdr>
        <w:top w:val="none" w:sz="0" w:space="0" w:color="auto"/>
        <w:left w:val="none" w:sz="0" w:space="0" w:color="auto"/>
        <w:bottom w:val="none" w:sz="0" w:space="0" w:color="auto"/>
        <w:right w:val="none" w:sz="0" w:space="0" w:color="auto"/>
      </w:divBdr>
    </w:div>
    <w:div w:id="458039549">
      <w:bodyDiv w:val="1"/>
      <w:marLeft w:val="0"/>
      <w:marRight w:val="0"/>
      <w:marTop w:val="0"/>
      <w:marBottom w:val="0"/>
      <w:divBdr>
        <w:top w:val="none" w:sz="0" w:space="0" w:color="auto"/>
        <w:left w:val="none" w:sz="0" w:space="0" w:color="auto"/>
        <w:bottom w:val="none" w:sz="0" w:space="0" w:color="auto"/>
        <w:right w:val="none" w:sz="0" w:space="0" w:color="auto"/>
      </w:divBdr>
    </w:div>
    <w:div w:id="472715646">
      <w:bodyDiv w:val="1"/>
      <w:marLeft w:val="0"/>
      <w:marRight w:val="0"/>
      <w:marTop w:val="0"/>
      <w:marBottom w:val="0"/>
      <w:divBdr>
        <w:top w:val="none" w:sz="0" w:space="0" w:color="auto"/>
        <w:left w:val="none" w:sz="0" w:space="0" w:color="auto"/>
        <w:bottom w:val="none" w:sz="0" w:space="0" w:color="auto"/>
        <w:right w:val="none" w:sz="0" w:space="0" w:color="auto"/>
      </w:divBdr>
    </w:div>
    <w:div w:id="518086694">
      <w:bodyDiv w:val="1"/>
      <w:marLeft w:val="0"/>
      <w:marRight w:val="0"/>
      <w:marTop w:val="0"/>
      <w:marBottom w:val="0"/>
      <w:divBdr>
        <w:top w:val="none" w:sz="0" w:space="0" w:color="auto"/>
        <w:left w:val="none" w:sz="0" w:space="0" w:color="auto"/>
        <w:bottom w:val="none" w:sz="0" w:space="0" w:color="auto"/>
        <w:right w:val="none" w:sz="0" w:space="0" w:color="auto"/>
      </w:divBdr>
    </w:div>
    <w:div w:id="528490861">
      <w:bodyDiv w:val="1"/>
      <w:marLeft w:val="0"/>
      <w:marRight w:val="0"/>
      <w:marTop w:val="0"/>
      <w:marBottom w:val="0"/>
      <w:divBdr>
        <w:top w:val="none" w:sz="0" w:space="0" w:color="auto"/>
        <w:left w:val="none" w:sz="0" w:space="0" w:color="auto"/>
        <w:bottom w:val="none" w:sz="0" w:space="0" w:color="auto"/>
        <w:right w:val="none" w:sz="0" w:space="0" w:color="auto"/>
      </w:divBdr>
    </w:div>
    <w:div w:id="560557736">
      <w:bodyDiv w:val="1"/>
      <w:marLeft w:val="0"/>
      <w:marRight w:val="0"/>
      <w:marTop w:val="0"/>
      <w:marBottom w:val="0"/>
      <w:divBdr>
        <w:top w:val="none" w:sz="0" w:space="0" w:color="auto"/>
        <w:left w:val="none" w:sz="0" w:space="0" w:color="auto"/>
        <w:bottom w:val="none" w:sz="0" w:space="0" w:color="auto"/>
        <w:right w:val="none" w:sz="0" w:space="0" w:color="auto"/>
      </w:divBdr>
    </w:div>
    <w:div w:id="571891455">
      <w:bodyDiv w:val="1"/>
      <w:marLeft w:val="0"/>
      <w:marRight w:val="0"/>
      <w:marTop w:val="0"/>
      <w:marBottom w:val="0"/>
      <w:divBdr>
        <w:top w:val="none" w:sz="0" w:space="0" w:color="auto"/>
        <w:left w:val="none" w:sz="0" w:space="0" w:color="auto"/>
        <w:bottom w:val="none" w:sz="0" w:space="0" w:color="auto"/>
        <w:right w:val="none" w:sz="0" w:space="0" w:color="auto"/>
      </w:divBdr>
    </w:div>
    <w:div w:id="579408250">
      <w:bodyDiv w:val="1"/>
      <w:marLeft w:val="0"/>
      <w:marRight w:val="0"/>
      <w:marTop w:val="0"/>
      <w:marBottom w:val="0"/>
      <w:divBdr>
        <w:top w:val="none" w:sz="0" w:space="0" w:color="auto"/>
        <w:left w:val="none" w:sz="0" w:space="0" w:color="auto"/>
        <w:bottom w:val="none" w:sz="0" w:space="0" w:color="auto"/>
        <w:right w:val="none" w:sz="0" w:space="0" w:color="auto"/>
      </w:divBdr>
    </w:div>
    <w:div w:id="581985530">
      <w:bodyDiv w:val="1"/>
      <w:marLeft w:val="0"/>
      <w:marRight w:val="0"/>
      <w:marTop w:val="0"/>
      <w:marBottom w:val="0"/>
      <w:divBdr>
        <w:top w:val="none" w:sz="0" w:space="0" w:color="auto"/>
        <w:left w:val="none" w:sz="0" w:space="0" w:color="auto"/>
        <w:bottom w:val="none" w:sz="0" w:space="0" w:color="auto"/>
        <w:right w:val="none" w:sz="0" w:space="0" w:color="auto"/>
      </w:divBdr>
    </w:div>
    <w:div w:id="595747678">
      <w:bodyDiv w:val="1"/>
      <w:marLeft w:val="0"/>
      <w:marRight w:val="0"/>
      <w:marTop w:val="0"/>
      <w:marBottom w:val="0"/>
      <w:divBdr>
        <w:top w:val="none" w:sz="0" w:space="0" w:color="auto"/>
        <w:left w:val="none" w:sz="0" w:space="0" w:color="auto"/>
        <w:bottom w:val="none" w:sz="0" w:space="0" w:color="auto"/>
        <w:right w:val="none" w:sz="0" w:space="0" w:color="auto"/>
      </w:divBdr>
    </w:div>
    <w:div w:id="597637971">
      <w:bodyDiv w:val="1"/>
      <w:marLeft w:val="0"/>
      <w:marRight w:val="0"/>
      <w:marTop w:val="0"/>
      <w:marBottom w:val="0"/>
      <w:divBdr>
        <w:top w:val="none" w:sz="0" w:space="0" w:color="auto"/>
        <w:left w:val="none" w:sz="0" w:space="0" w:color="auto"/>
        <w:bottom w:val="none" w:sz="0" w:space="0" w:color="auto"/>
        <w:right w:val="none" w:sz="0" w:space="0" w:color="auto"/>
      </w:divBdr>
    </w:div>
    <w:div w:id="613370739">
      <w:bodyDiv w:val="1"/>
      <w:marLeft w:val="0"/>
      <w:marRight w:val="0"/>
      <w:marTop w:val="0"/>
      <w:marBottom w:val="0"/>
      <w:divBdr>
        <w:top w:val="none" w:sz="0" w:space="0" w:color="auto"/>
        <w:left w:val="none" w:sz="0" w:space="0" w:color="auto"/>
        <w:bottom w:val="none" w:sz="0" w:space="0" w:color="auto"/>
        <w:right w:val="none" w:sz="0" w:space="0" w:color="auto"/>
      </w:divBdr>
    </w:div>
    <w:div w:id="618419300">
      <w:bodyDiv w:val="1"/>
      <w:marLeft w:val="0"/>
      <w:marRight w:val="0"/>
      <w:marTop w:val="0"/>
      <w:marBottom w:val="0"/>
      <w:divBdr>
        <w:top w:val="none" w:sz="0" w:space="0" w:color="auto"/>
        <w:left w:val="none" w:sz="0" w:space="0" w:color="auto"/>
        <w:bottom w:val="none" w:sz="0" w:space="0" w:color="auto"/>
        <w:right w:val="none" w:sz="0" w:space="0" w:color="auto"/>
      </w:divBdr>
    </w:div>
    <w:div w:id="622540903">
      <w:bodyDiv w:val="1"/>
      <w:marLeft w:val="0"/>
      <w:marRight w:val="0"/>
      <w:marTop w:val="0"/>
      <w:marBottom w:val="0"/>
      <w:divBdr>
        <w:top w:val="none" w:sz="0" w:space="0" w:color="auto"/>
        <w:left w:val="none" w:sz="0" w:space="0" w:color="auto"/>
        <w:bottom w:val="none" w:sz="0" w:space="0" w:color="auto"/>
        <w:right w:val="none" w:sz="0" w:space="0" w:color="auto"/>
      </w:divBdr>
    </w:div>
    <w:div w:id="628821798">
      <w:bodyDiv w:val="1"/>
      <w:marLeft w:val="0"/>
      <w:marRight w:val="0"/>
      <w:marTop w:val="0"/>
      <w:marBottom w:val="0"/>
      <w:divBdr>
        <w:top w:val="none" w:sz="0" w:space="0" w:color="auto"/>
        <w:left w:val="none" w:sz="0" w:space="0" w:color="auto"/>
        <w:bottom w:val="none" w:sz="0" w:space="0" w:color="auto"/>
        <w:right w:val="none" w:sz="0" w:space="0" w:color="auto"/>
      </w:divBdr>
    </w:div>
    <w:div w:id="651759605">
      <w:bodyDiv w:val="1"/>
      <w:marLeft w:val="0"/>
      <w:marRight w:val="0"/>
      <w:marTop w:val="0"/>
      <w:marBottom w:val="0"/>
      <w:divBdr>
        <w:top w:val="none" w:sz="0" w:space="0" w:color="auto"/>
        <w:left w:val="none" w:sz="0" w:space="0" w:color="auto"/>
        <w:bottom w:val="none" w:sz="0" w:space="0" w:color="auto"/>
        <w:right w:val="none" w:sz="0" w:space="0" w:color="auto"/>
      </w:divBdr>
    </w:div>
    <w:div w:id="670838320">
      <w:bodyDiv w:val="1"/>
      <w:marLeft w:val="0"/>
      <w:marRight w:val="0"/>
      <w:marTop w:val="0"/>
      <w:marBottom w:val="0"/>
      <w:divBdr>
        <w:top w:val="none" w:sz="0" w:space="0" w:color="auto"/>
        <w:left w:val="none" w:sz="0" w:space="0" w:color="auto"/>
        <w:bottom w:val="none" w:sz="0" w:space="0" w:color="auto"/>
        <w:right w:val="none" w:sz="0" w:space="0" w:color="auto"/>
      </w:divBdr>
    </w:div>
    <w:div w:id="691033383">
      <w:bodyDiv w:val="1"/>
      <w:marLeft w:val="0"/>
      <w:marRight w:val="0"/>
      <w:marTop w:val="0"/>
      <w:marBottom w:val="0"/>
      <w:divBdr>
        <w:top w:val="none" w:sz="0" w:space="0" w:color="auto"/>
        <w:left w:val="none" w:sz="0" w:space="0" w:color="auto"/>
        <w:bottom w:val="none" w:sz="0" w:space="0" w:color="auto"/>
        <w:right w:val="none" w:sz="0" w:space="0" w:color="auto"/>
      </w:divBdr>
    </w:div>
    <w:div w:id="693502144">
      <w:bodyDiv w:val="1"/>
      <w:marLeft w:val="0"/>
      <w:marRight w:val="0"/>
      <w:marTop w:val="0"/>
      <w:marBottom w:val="0"/>
      <w:divBdr>
        <w:top w:val="none" w:sz="0" w:space="0" w:color="auto"/>
        <w:left w:val="none" w:sz="0" w:space="0" w:color="auto"/>
        <w:bottom w:val="none" w:sz="0" w:space="0" w:color="auto"/>
        <w:right w:val="none" w:sz="0" w:space="0" w:color="auto"/>
      </w:divBdr>
    </w:div>
    <w:div w:id="718435658">
      <w:bodyDiv w:val="1"/>
      <w:marLeft w:val="0"/>
      <w:marRight w:val="0"/>
      <w:marTop w:val="0"/>
      <w:marBottom w:val="0"/>
      <w:divBdr>
        <w:top w:val="none" w:sz="0" w:space="0" w:color="auto"/>
        <w:left w:val="none" w:sz="0" w:space="0" w:color="auto"/>
        <w:bottom w:val="none" w:sz="0" w:space="0" w:color="auto"/>
        <w:right w:val="none" w:sz="0" w:space="0" w:color="auto"/>
      </w:divBdr>
    </w:div>
    <w:div w:id="723873786">
      <w:bodyDiv w:val="1"/>
      <w:marLeft w:val="0"/>
      <w:marRight w:val="0"/>
      <w:marTop w:val="0"/>
      <w:marBottom w:val="0"/>
      <w:divBdr>
        <w:top w:val="none" w:sz="0" w:space="0" w:color="auto"/>
        <w:left w:val="none" w:sz="0" w:space="0" w:color="auto"/>
        <w:bottom w:val="none" w:sz="0" w:space="0" w:color="auto"/>
        <w:right w:val="none" w:sz="0" w:space="0" w:color="auto"/>
      </w:divBdr>
    </w:div>
    <w:div w:id="738550893">
      <w:bodyDiv w:val="1"/>
      <w:marLeft w:val="0"/>
      <w:marRight w:val="0"/>
      <w:marTop w:val="0"/>
      <w:marBottom w:val="0"/>
      <w:divBdr>
        <w:top w:val="none" w:sz="0" w:space="0" w:color="auto"/>
        <w:left w:val="none" w:sz="0" w:space="0" w:color="auto"/>
        <w:bottom w:val="none" w:sz="0" w:space="0" w:color="auto"/>
        <w:right w:val="none" w:sz="0" w:space="0" w:color="auto"/>
      </w:divBdr>
    </w:div>
    <w:div w:id="765421446">
      <w:bodyDiv w:val="1"/>
      <w:marLeft w:val="0"/>
      <w:marRight w:val="0"/>
      <w:marTop w:val="0"/>
      <w:marBottom w:val="0"/>
      <w:divBdr>
        <w:top w:val="none" w:sz="0" w:space="0" w:color="auto"/>
        <w:left w:val="none" w:sz="0" w:space="0" w:color="auto"/>
        <w:bottom w:val="none" w:sz="0" w:space="0" w:color="auto"/>
        <w:right w:val="none" w:sz="0" w:space="0" w:color="auto"/>
      </w:divBdr>
    </w:div>
    <w:div w:id="806043745">
      <w:bodyDiv w:val="1"/>
      <w:marLeft w:val="0"/>
      <w:marRight w:val="0"/>
      <w:marTop w:val="0"/>
      <w:marBottom w:val="0"/>
      <w:divBdr>
        <w:top w:val="none" w:sz="0" w:space="0" w:color="auto"/>
        <w:left w:val="none" w:sz="0" w:space="0" w:color="auto"/>
        <w:bottom w:val="none" w:sz="0" w:space="0" w:color="auto"/>
        <w:right w:val="none" w:sz="0" w:space="0" w:color="auto"/>
      </w:divBdr>
    </w:div>
    <w:div w:id="812798588">
      <w:bodyDiv w:val="1"/>
      <w:marLeft w:val="0"/>
      <w:marRight w:val="0"/>
      <w:marTop w:val="0"/>
      <w:marBottom w:val="0"/>
      <w:divBdr>
        <w:top w:val="none" w:sz="0" w:space="0" w:color="auto"/>
        <w:left w:val="none" w:sz="0" w:space="0" w:color="auto"/>
        <w:bottom w:val="none" w:sz="0" w:space="0" w:color="auto"/>
        <w:right w:val="none" w:sz="0" w:space="0" w:color="auto"/>
      </w:divBdr>
    </w:div>
    <w:div w:id="816805812">
      <w:bodyDiv w:val="1"/>
      <w:marLeft w:val="0"/>
      <w:marRight w:val="0"/>
      <w:marTop w:val="0"/>
      <w:marBottom w:val="0"/>
      <w:divBdr>
        <w:top w:val="none" w:sz="0" w:space="0" w:color="auto"/>
        <w:left w:val="none" w:sz="0" w:space="0" w:color="auto"/>
        <w:bottom w:val="none" w:sz="0" w:space="0" w:color="auto"/>
        <w:right w:val="none" w:sz="0" w:space="0" w:color="auto"/>
      </w:divBdr>
    </w:div>
    <w:div w:id="830146024">
      <w:bodyDiv w:val="1"/>
      <w:marLeft w:val="0"/>
      <w:marRight w:val="0"/>
      <w:marTop w:val="0"/>
      <w:marBottom w:val="0"/>
      <w:divBdr>
        <w:top w:val="none" w:sz="0" w:space="0" w:color="auto"/>
        <w:left w:val="none" w:sz="0" w:space="0" w:color="auto"/>
        <w:bottom w:val="none" w:sz="0" w:space="0" w:color="auto"/>
        <w:right w:val="none" w:sz="0" w:space="0" w:color="auto"/>
      </w:divBdr>
    </w:div>
    <w:div w:id="849755217">
      <w:bodyDiv w:val="1"/>
      <w:marLeft w:val="0"/>
      <w:marRight w:val="0"/>
      <w:marTop w:val="0"/>
      <w:marBottom w:val="0"/>
      <w:divBdr>
        <w:top w:val="none" w:sz="0" w:space="0" w:color="auto"/>
        <w:left w:val="none" w:sz="0" w:space="0" w:color="auto"/>
        <w:bottom w:val="none" w:sz="0" w:space="0" w:color="auto"/>
        <w:right w:val="none" w:sz="0" w:space="0" w:color="auto"/>
      </w:divBdr>
    </w:div>
    <w:div w:id="850682306">
      <w:bodyDiv w:val="1"/>
      <w:marLeft w:val="0"/>
      <w:marRight w:val="0"/>
      <w:marTop w:val="0"/>
      <w:marBottom w:val="0"/>
      <w:divBdr>
        <w:top w:val="none" w:sz="0" w:space="0" w:color="auto"/>
        <w:left w:val="none" w:sz="0" w:space="0" w:color="auto"/>
        <w:bottom w:val="none" w:sz="0" w:space="0" w:color="auto"/>
        <w:right w:val="none" w:sz="0" w:space="0" w:color="auto"/>
      </w:divBdr>
    </w:div>
    <w:div w:id="851410848">
      <w:bodyDiv w:val="1"/>
      <w:marLeft w:val="0"/>
      <w:marRight w:val="0"/>
      <w:marTop w:val="0"/>
      <w:marBottom w:val="0"/>
      <w:divBdr>
        <w:top w:val="none" w:sz="0" w:space="0" w:color="auto"/>
        <w:left w:val="none" w:sz="0" w:space="0" w:color="auto"/>
        <w:bottom w:val="none" w:sz="0" w:space="0" w:color="auto"/>
        <w:right w:val="none" w:sz="0" w:space="0" w:color="auto"/>
      </w:divBdr>
    </w:div>
    <w:div w:id="856886552">
      <w:bodyDiv w:val="1"/>
      <w:marLeft w:val="0"/>
      <w:marRight w:val="0"/>
      <w:marTop w:val="0"/>
      <w:marBottom w:val="0"/>
      <w:divBdr>
        <w:top w:val="none" w:sz="0" w:space="0" w:color="auto"/>
        <w:left w:val="none" w:sz="0" w:space="0" w:color="auto"/>
        <w:bottom w:val="none" w:sz="0" w:space="0" w:color="auto"/>
        <w:right w:val="none" w:sz="0" w:space="0" w:color="auto"/>
      </w:divBdr>
    </w:div>
    <w:div w:id="866411467">
      <w:bodyDiv w:val="1"/>
      <w:marLeft w:val="0"/>
      <w:marRight w:val="0"/>
      <w:marTop w:val="0"/>
      <w:marBottom w:val="0"/>
      <w:divBdr>
        <w:top w:val="none" w:sz="0" w:space="0" w:color="auto"/>
        <w:left w:val="none" w:sz="0" w:space="0" w:color="auto"/>
        <w:bottom w:val="none" w:sz="0" w:space="0" w:color="auto"/>
        <w:right w:val="none" w:sz="0" w:space="0" w:color="auto"/>
      </w:divBdr>
    </w:div>
    <w:div w:id="877428073">
      <w:bodyDiv w:val="1"/>
      <w:marLeft w:val="0"/>
      <w:marRight w:val="0"/>
      <w:marTop w:val="0"/>
      <w:marBottom w:val="0"/>
      <w:divBdr>
        <w:top w:val="none" w:sz="0" w:space="0" w:color="auto"/>
        <w:left w:val="none" w:sz="0" w:space="0" w:color="auto"/>
        <w:bottom w:val="none" w:sz="0" w:space="0" w:color="auto"/>
        <w:right w:val="none" w:sz="0" w:space="0" w:color="auto"/>
      </w:divBdr>
    </w:div>
    <w:div w:id="890073310">
      <w:bodyDiv w:val="1"/>
      <w:marLeft w:val="0"/>
      <w:marRight w:val="0"/>
      <w:marTop w:val="0"/>
      <w:marBottom w:val="0"/>
      <w:divBdr>
        <w:top w:val="none" w:sz="0" w:space="0" w:color="auto"/>
        <w:left w:val="none" w:sz="0" w:space="0" w:color="auto"/>
        <w:bottom w:val="none" w:sz="0" w:space="0" w:color="auto"/>
        <w:right w:val="none" w:sz="0" w:space="0" w:color="auto"/>
      </w:divBdr>
    </w:div>
    <w:div w:id="893394737">
      <w:bodyDiv w:val="1"/>
      <w:marLeft w:val="0"/>
      <w:marRight w:val="0"/>
      <w:marTop w:val="0"/>
      <w:marBottom w:val="0"/>
      <w:divBdr>
        <w:top w:val="none" w:sz="0" w:space="0" w:color="auto"/>
        <w:left w:val="none" w:sz="0" w:space="0" w:color="auto"/>
        <w:bottom w:val="none" w:sz="0" w:space="0" w:color="auto"/>
        <w:right w:val="none" w:sz="0" w:space="0" w:color="auto"/>
      </w:divBdr>
    </w:div>
    <w:div w:id="902836477">
      <w:bodyDiv w:val="1"/>
      <w:marLeft w:val="0"/>
      <w:marRight w:val="0"/>
      <w:marTop w:val="0"/>
      <w:marBottom w:val="0"/>
      <w:divBdr>
        <w:top w:val="none" w:sz="0" w:space="0" w:color="auto"/>
        <w:left w:val="none" w:sz="0" w:space="0" w:color="auto"/>
        <w:bottom w:val="none" w:sz="0" w:space="0" w:color="auto"/>
        <w:right w:val="none" w:sz="0" w:space="0" w:color="auto"/>
      </w:divBdr>
    </w:div>
    <w:div w:id="923107127">
      <w:bodyDiv w:val="1"/>
      <w:marLeft w:val="0"/>
      <w:marRight w:val="0"/>
      <w:marTop w:val="0"/>
      <w:marBottom w:val="0"/>
      <w:divBdr>
        <w:top w:val="none" w:sz="0" w:space="0" w:color="auto"/>
        <w:left w:val="none" w:sz="0" w:space="0" w:color="auto"/>
        <w:bottom w:val="none" w:sz="0" w:space="0" w:color="auto"/>
        <w:right w:val="none" w:sz="0" w:space="0" w:color="auto"/>
      </w:divBdr>
    </w:div>
    <w:div w:id="923688222">
      <w:bodyDiv w:val="1"/>
      <w:marLeft w:val="0"/>
      <w:marRight w:val="0"/>
      <w:marTop w:val="0"/>
      <w:marBottom w:val="0"/>
      <w:divBdr>
        <w:top w:val="none" w:sz="0" w:space="0" w:color="auto"/>
        <w:left w:val="none" w:sz="0" w:space="0" w:color="auto"/>
        <w:bottom w:val="none" w:sz="0" w:space="0" w:color="auto"/>
        <w:right w:val="none" w:sz="0" w:space="0" w:color="auto"/>
      </w:divBdr>
    </w:div>
    <w:div w:id="966200058">
      <w:bodyDiv w:val="1"/>
      <w:marLeft w:val="0"/>
      <w:marRight w:val="0"/>
      <w:marTop w:val="0"/>
      <w:marBottom w:val="0"/>
      <w:divBdr>
        <w:top w:val="none" w:sz="0" w:space="0" w:color="auto"/>
        <w:left w:val="none" w:sz="0" w:space="0" w:color="auto"/>
        <w:bottom w:val="none" w:sz="0" w:space="0" w:color="auto"/>
        <w:right w:val="none" w:sz="0" w:space="0" w:color="auto"/>
      </w:divBdr>
    </w:div>
    <w:div w:id="966743184">
      <w:bodyDiv w:val="1"/>
      <w:marLeft w:val="0"/>
      <w:marRight w:val="0"/>
      <w:marTop w:val="0"/>
      <w:marBottom w:val="0"/>
      <w:divBdr>
        <w:top w:val="none" w:sz="0" w:space="0" w:color="auto"/>
        <w:left w:val="none" w:sz="0" w:space="0" w:color="auto"/>
        <w:bottom w:val="none" w:sz="0" w:space="0" w:color="auto"/>
        <w:right w:val="none" w:sz="0" w:space="0" w:color="auto"/>
      </w:divBdr>
    </w:div>
    <w:div w:id="979456106">
      <w:bodyDiv w:val="1"/>
      <w:marLeft w:val="0"/>
      <w:marRight w:val="0"/>
      <w:marTop w:val="0"/>
      <w:marBottom w:val="0"/>
      <w:divBdr>
        <w:top w:val="none" w:sz="0" w:space="0" w:color="auto"/>
        <w:left w:val="none" w:sz="0" w:space="0" w:color="auto"/>
        <w:bottom w:val="none" w:sz="0" w:space="0" w:color="auto"/>
        <w:right w:val="none" w:sz="0" w:space="0" w:color="auto"/>
      </w:divBdr>
    </w:div>
    <w:div w:id="1030298211">
      <w:bodyDiv w:val="1"/>
      <w:marLeft w:val="0"/>
      <w:marRight w:val="0"/>
      <w:marTop w:val="0"/>
      <w:marBottom w:val="0"/>
      <w:divBdr>
        <w:top w:val="none" w:sz="0" w:space="0" w:color="auto"/>
        <w:left w:val="none" w:sz="0" w:space="0" w:color="auto"/>
        <w:bottom w:val="none" w:sz="0" w:space="0" w:color="auto"/>
        <w:right w:val="none" w:sz="0" w:space="0" w:color="auto"/>
      </w:divBdr>
    </w:div>
    <w:div w:id="1034303312">
      <w:bodyDiv w:val="1"/>
      <w:marLeft w:val="0"/>
      <w:marRight w:val="0"/>
      <w:marTop w:val="0"/>
      <w:marBottom w:val="0"/>
      <w:divBdr>
        <w:top w:val="none" w:sz="0" w:space="0" w:color="auto"/>
        <w:left w:val="none" w:sz="0" w:space="0" w:color="auto"/>
        <w:bottom w:val="none" w:sz="0" w:space="0" w:color="auto"/>
        <w:right w:val="none" w:sz="0" w:space="0" w:color="auto"/>
      </w:divBdr>
    </w:div>
    <w:div w:id="1062485544">
      <w:bodyDiv w:val="1"/>
      <w:marLeft w:val="0"/>
      <w:marRight w:val="0"/>
      <w:marTop w:val="0"/>
      <w:marBottom w:val="0"/>
      <w:divBdr>
        <w:top w:val="none" w:sz="0" w:space="0" w:color="auto"/>
        <w:left w:val="none" w:sz="0" w:space="0" w:color="auto"/>
        <w:bottom w:val="none" w:sz="0" w:space="0" w:color="auto"/>
        <w:right w:val="none" w:sz="0" w:space="0" w:color="auto"/>
      </w:divBdr>
    </w:div>
    <w:div w:id="1081488421">
      <w:bodyDiv w:val="1"/>
      <w:marLeft w:val="0"/>
      <w:marRight w:val="0"/>
      <w:marTop w:val="0"/>
      <w:marBottom w:val="0"/>
      <w:divBdr>
        <w:top w:val="none" w:sz="0" w:space="0" w:color="auto"/>
        <w:left w:val="none" w:sz="0" w:space="0" w:color="auto"/>
        <w:bottom w:val="none" w:sz="0" w:space="0" w:color="auto"/>
        <w:right w:val="none" w:sz="0" w:space="0" w:color="auto"/>
      </w:divBdr>
    </w:div>
    <w:div w:id="1092776323">
      <w:bodyDiv w:val="1"/>
      <w:marLeft w:val="0"/>
      <w:marRight w:val="0"/>
      <w:marTop w:val="0"/>
      <w:marBottom w:val="0"/>
      <w:divBdr>
        <w:top w:val="none" w:sz="0" w:space="0" w:color="auto"/>
        <w:left w:val="none" w:sz="0" w:space="0" w:color="auto"/>
        <w:bottom w:val="none" w:sz="0" w:space="0" w:color="auto"/>
        <w:right w:val="none" w:sz="0" w:space="0" w:color="auto"/>
      </w:divBdr>
    </w:div>
    <w:div w:id="1098449228">
      <w:bodyDiv w:val="1"/>
      <w:marLeft w:val="0"/>
      <w:marRight w:val="0"/>
      <w:marTop w:val="0"/>
      <w:marBottom w:val="0"/>
      <w:divBdr>
        <w:top w:val="none" w:sz="0" w:space="0" w:color="auto"/>
        <w:left w:val="none" w:sz="0" w:space="0" w:color="auto"/>
        <w:bottom w:val="none" w:sz="0" w:space="0" w:color="auto"/>
        <w:right w:val="none" w:sz="0" w:space="0" w:color="auto"/>
      </w:divBdr>
    </w:div>
    <w:div w:id="1101334024">
      <w:bodyDiv w:val="1"/>
      <w:marLeft w:val="0"/>
      <w:marRight w:val="0"/>
      <w:marTop w:val="0"/>
      <w:marBottom w:val="0"/>
      <w:divBdr>
        <w:top w:val="none" w:sz="0" w:space="0" w:color="auto"/>
        <w:left w:val="none" w:sz="0" w:space="0" w:color="auto"/>
        <w:bottom w:val="none" w:sz="0" w:space="0" w:color="auto"/>
        <w:right w:val="none" w:sz="0" w:space="0" w:color="auto"/>
      </w:divBdr>
    </w:div>
    <w:div w:id="1120954509">
      <w:bodyDiv w:val="1"/>
      <w:marLeft w:val="0"/>
      <w:marRight w:val="0"/>
      <w:marTop w:val="0"/>
      <w:marBottom w:val="0"/>
      <w:divBdr>
        <w:top w:val="none" w:sz="0" w:space="0" w:color="auto"/>
        <w:left w:val="none" w:sz="0" w:space="0" w:color="auto"/>
        <w:bottom w:val="none" w:sz="0" w:space="0" w:color="auto"/>
        <w:right w:val="none" w:sz="0" w:space="0" w:color="auto"/>
      </w:divBdr>
    </w:div>
    <w:div w:id="1138379209">
      <w:bodyDiv w:val="1"/>
      <w:marLeft w:val="0"/>
      <w:marRight w:val="0"/>
      <w:marTop w:val="0"/>
      <w:marBottom w:val="0"/>
      <w:divBdr>
        <w:top w:val="none" w:sz="0" w:space="0" w:color="auto"/>
        <w:left w:val="none" w:sz="0" w:space="0" w:color="auto"/>
        <w:bottom w:val="none" w:sz="0" w:space="0" w:color="auto"/>
        <w:right w:val="none" w:sz="0" w:space="0" w:color="auto"/>
      </w:divBdr>
    </w:div>
    <w:div w:id="1140266182">
      <w:bodyDiv w:val="1"/>
      <w:marLeft w:val="0"/>
      <w:marRight w:val="0"/>
      <w:marTop w:val="0"/>
      <w:marBottom w:val="0"/>
      <w:divBdr>
        <w:top w:val="none" w:sz="0" w:space="0" w:color="auto"/>
        <w:left w:val="none" w:sz="0" w:space="0" w:color="auto"/>
        <w:bottom w:val="none" w:sz="0" w:space="0" w:color="auto"/>
        <w:right w:val="none" w:sz="0" w:space="0" w:color="auto"/>
      </w:divBdr>
    </w:div>
    <w:div w:id="1149131237">
      <w:bodyDiv w:val="1"/>
      <w:marLeft w:val="0"/>
      <w:marRight w:val="0"/>
      <w:marTop w:val="0"/>
      <w:marBottom w:val="0"/>
      <w:divBdr>
        <w:top w:val="none" w:sz="0" w:space="0" w:color="auto"/>
        <w:left w:val="none" w:sz="0" w:space="0" w:color="auto"/>
        <w:bottom w:val="none" w:sz="0" w:space="0" w:color="auto"/>
        <w:right w:val="none" w:sz="0" w:space="0" w:color="auto"/>
      </w:divBdr>
    </w:div>
    <w:div w:id="1154638361">
      <w:bodyDiv w:val="1"/>
      <w:marLeft w:val="0"/>
      <w:marRight w:val="0"/>
      <w:marTop w:val="0"/>
      <w:marBottom w:val="0"/>
      <w:divBdr>
        <w:top w:val="none" w:sz="0" w:space="0" w:color="auto"/>
        <w:left w:val="none" w:sz="0" w:space="0" w:color="auto"/>
        <w:bottom w:val="none" w:sz="0" w:space="0" w:color="auto"/>
        <w:right w:val="none" w:sz="0" w:space="0" w:color="auto"/>
      </w:divBdr>
    </w:div>
    <w:div w:id="1157722079">
      <w:bodyDiv w:val="1"/>
      <w:marLeft w:val="0"/>
      <w:marRight w:val="0"/>
      <w:marTop w:val="0"/>
      <w:marBottom w:val="0"/>
      <w:divBdr>
        <w:top w:val="none" w:sz="0" w:space="0" w:color="auto"/>
        <w:left w:val="none" w:sz="0" w:space="0" w:color="auto"/>
        <w:bottom w:val="none" w:sz="0" w:space="0" w:color="auto"/>
        <w:right w:val="none" w:sz="0" w:space="0" w:color="auto"/>
      </w:divBdr>
    </w:div>
    <w:div w:id="1159152394">
      <w:bodyDiv w:val="1"/>
      <w:marLeft w:val="0"/>
      <w:marRight w:val="0"/>
      <w:marTop w:val="0"/>
      <w:marBottom w:val="0"/>
      <w:divBdr>
        <w:top w:val="none" w:sz="0" w:space="0" w:color="auto"/>
        <w:left w:val="none" w:sz="0" w:space="0" w:color="auto"/>
        <w:bottom w:val="none" w:sz="0" w:space="0" w:color="auto"/>
        <w:right w:val="none" w:sz="0" w:space="0" w:color="auto"/>
      </w:divBdr>
    </w:div>
    <w:div w:id="1178540402">
      <w:bodyDiv w:val="1"/>
      <w:marLeft w:val="0"/>
      <w:marRight w:val="0"/>
      <w:marTop w:val="0"/>
      <w:marBottom w:val="0"/>
      <w:divBdr>
        <w:top w:val="none" w:sz="0" w:space="0" w:color="auto"/>
        <w:left w:val="none" w:sz="0" w:space="0" w:color="auto"/>
        <w:bottom w:val="none" w:sz="0" w:space="0" w:color="auto"/>
        <w:right w:val="none" w:sz="0" w:space="0" w:color="auto"/>
      </w:divBdr>
    </w:div>
    <w:div w:id="1180045238">
      <w:bodyDiv w:val="1"/>
      <w:marLeft w:val="0"/>
      <w:marRight w:val="0"/>
      <w:marTop w:val="0"/>
      <w:marBottom w:val="0"/>
      <w:divBdr>
        <w:top w:val="none" w:sz="0" w:space="0" w:color="auto"/>
        <w:left w:val="none" w:sz="0" w:space="0" w:color="auto"/>
        <w:bottom w:val="none" w:sz="0" w:space="0" w:color="auto"/>
        <w:right w:val="none" w:sz="0" w:space="0" w:color="auto"/>
      </w:divBdr>
    </w:div>
    <w:div w:id="1192649340">
      <w:bodyDiv w:val="1"/>
      <w:marLeft w:val="0"/>
      <w:marRight w:val="0"/>
      <w:marTop w:val="0"/>
      <w:marBottom w:val="0"/>
      <w:divBdr>
        <w:top w:val="none" w:sz="0" w:space="0" w:color="auto"/>
        <w:left w:val="none" w:sz="0" w:space="0" w:color="auto"/>
        <w:bottom w:val="none" w:sz="0" w:space="0" w:color="auto"/>
        <w:right w:val="none" w:sz="0" w:space="0" w:color="auto"/>
      </w:divBdr>
    </w:div>
    <w:div w:id="1226139970">
      <w:bodyDiv w:val="1"/>
      <w:marLeft w:val="0"/>
      <w:marRight w:val="0"/>
      <w:marTop w:val="0"/>
      <w:marBottom w:val="0"/>
      <w:divBdr>
        <w:top w:val="none" w:sz="0" w:space="0" w:color="auto"/>
        <w:left w:val="none" w:sz="0" w:space="0" w:color="auto"/>
        <w:bottom w:val="none" w:sz="0" w:space="0" w:color="auto"/>
        <w:right w:val="none" w:sz="0" w:space="0" w:color="auto"/>
      </w:divBdr>
    </w:div>
    <w:div w:id="1231117455">
      <w:bodyDiv w:val="1"/>
      <w:marLeft w:val="0"/>
      <w:marRight w:val="0"/>
      <w:marTop w:val="0"/>
      <w:marBottom w:val="0"/>
      <w:divBdr>
        <w:top w:val="none" w:sz="0" w:space="0" w:color="auto"/>
        <w:left w:val="none" w:sz="0" w:space="0" w:color="auto"/>
        <w:bottom w:val="none" w:sz="0" w:space="0" w:color="auto"/>
        <w:right w:val="none" w:sz="0" w:space="0" w:color="auto"/>
      </w:divBdr>
    </w:div>
    <w:div w:id="1250504302">
      <w:bodyDiv w:val="1"/>
      <w:marLeft w:val="0"/>
      <w:marRight w:val="0"/>
      <w:marTop w:val="0"/>
      <w:marBottom w:val="0"/>
      <w:divBdr>
        <w:top w:val="none" w:sz="0" w:space="0" w:color="auto"/>
        <w:left w:val="none" w:sz="0" w:space="0" w:color="auto"/>
        <w:bottom w:val="none" w:sz="0" w:space="0" w:color="auto"/>
        <w:right w:val="none" w:sz="0" w:space="0" w:color="auto"/>
      </w:divBdr>
    </w:div>
    <w:div w:id="1260718881">
      <w:bodyDiv w:val="1"/>
      <w:marLeft w:val="0"/>
      <w:marRight w:val="0"/>
      <w:marTop w:val="0"/>
      <w:marBottom w:val="0"/>
      <w:divBdr>
        <w:top w:val="none" w:sz="0" w:space="0" w:color="auto"/>
        <w:left w:val="none" w:sz="0" w:space="0" w:color="auto"/>
        <w:bottom w:val="none" w:sz="0" w:space="0" w:color="auto"/>
        <w:right w:val="none" w:sz="0" w:space="0" w:color="auto"/>
      </w:divBdr>
    </w:div>
    <w:div w:id="1262026770">
      <w:bodyDiv w:val="1"/>
      <w:marLeft w:val="0"/>
      <w:marRight w:val="0"/>
      <w:marTop w:val="0"/>
      <w:marBottom w:val="0"/>
      <w:divBdr>
        <w:top w:val="none" w:sz="0" w:space="0" w:color="auto"/>
        <w:left w:val="none" w:sz="0" w:space="0" w:color="auto"/>
        <w:bottom w:val="none" w:sz="0" w:space="0" w:color="auto"/>
        <w:right w:val="none" w:sz="0" w:space="0" w:color="auto"/>
      </w:divBdr>
    </w:div>
    <w:div w:id="1263806903">
      <w:bodyDiv w:val="1"/>
      <w:marLeft w:val="0"/>
      <w:marRight w:val="0"/>
      <w:marTop w:val="0"/>
      <w:marBottom w:val="0"/>
      <w:divBdr>
        <w:top w:val="none" w:sz="0" w:space="0" w:color="auto"/>
        <w:left w:val="none" w:sz="0" w:space="0" w:color="auto"/>
        <w:bottom w:val="none" w:sz="0" w:space="0" w:color="auto"/>
        <w:right w:val="none" w:sz="0" w:space="0" w:color="auto"/>
      </w:divBdr>
    </w:div>
    <w:div w:id="1264414274">
      <w:bodyDiv w:val="1"/>
      <w:marLeft w:val="0"/>
      <w:marRight w:val="0"/>
      <w:marTop w:val="0"/>
      <w:marBottom w:val="0"/>
      <w:divBdr>
        <w:top w:val="none" w:sz="0" w:space="0" w:color="auto"/>
        <w:left w:val="none" w:sz="0" w:space="0" w:color="auto"/>
        <w:bottom w:val="none" w:sz="0" w:space="0" w:color="auto"/>
        <w:right w:val="none" w:sz="0" w:space="0" w:color="auto"/>
      </w:divBdr>
    </w:div>
    <w:div w:id="1274282993">
      <w:bodyDiv w:val="1"/>
      <w:marLeft w:val="0"/>
      <w:marRight w:val="0"/>
      <w:marTop w:val="0"/>
      <w:marBottom w:val="0"/>
      <w:divBdr>
        <w:top w:val="none" w:sz="0" w:space="0" w:color="auto"/>
        <w:left w:val="none" w:sz="0" w:space="0" w:color="auto"/>
        <w:bottom w:val="none" w:sz="0" w:space="0" w:color="auto"/>
        <w:right w:val="none" w:sz="0" w:space="0" w:color="auto"/>
      </w:divBdr>
    </w:div>
    <w:div w:id="1283800529">
      <w:bodyDiv w:val="1"/>
      <w:marLeft w:val="0"/>
      <w:marRight w:val="0"/>
      <w:marTop w:val="0"/>
      <w:marBottom w:val="0"/>
      <w:divBdr>
        <w:top w:val="none" w:sz="0" w:space="0" w:color="auto"/>
        <w:left w:val="none" w:sz="0" w:space="0" w:color="auto"/>
        <w:bottom w:val="none" w:sz="0" w:space="0" w:color="auto"/>
        <w:right w:val="none" w:sz="0" w:space="0" w:color="auto"/>
      </w:divBdr>
    </w:div>
    <w:div w:id="1292784249">
      <w:bodyDiv w:val="1"/>
      <w:marLeft w:val="0"/>
      <w:marRight w:val="0"/>
      <w:marTop w:val="0"/>
      <w:marBottom w:val="0"/>
      <w:divBdr>
        <w:top w:val="none" w:sz="0" w:space="0" w:color="auto"/>
        <w:left w:val="none" w:sz="0" w:space="0" w:color="auto"/>
        <w:bottom w:val="none" w:sz="0" w:space="0" w:color="auto"/>
        <w:right w:val="none" w:sz="0" w:space="0" w:color="auto"/>
      </w:divBdr>
    </w:div>
    <w:div w:id="1301573996">
      <w:bodyDiv w:val="1"/>
      <w:marLeft w:val="0"/>
      <w:marRight w:val="0"/>
      <w:marTop w:val="0"/>
      <w:marBottom w:val="0"/>
      <w:divBdr>
        <w:top w:val="none" w:sz="0" w:space="0" w:color="auto"/>
        <w:left w:val="none" w:sz="0" w:space="0" w:color="auto"/>
        <w:bottom w:val="none" w:sz="0" w:space="0" w:color="auto"/>
        <w:right w:val="none" w:sz="0" w:space="0" w:color="auto"/>
      </w:divBdr>
    </w:div>
    <w:div w:id="1304114755">
      <w:bodyDiv w:val="1"/>
      <w:marLeft w:val="0"/>
      <w:marRight w:val="0"/>
      <w:marTop w:val="0"/>
      <w:marBottom w:val="0"/>
      <w:divBdr>
        <w:top w:val="none" w:sz="0" w:space="0" w:color="auto"/>
        <w:left w:val="none" w:sz="0" w:space="0" w:color="auto"/>
        <w:bottom w:val="none" w:sz="0" w:space="0" w:color="auto"/>
        <w:right w:val="none" w:sz="0" w:space="0" w:color="auto"/>
      </w:divBdr>
    </w:div>
    <w:div w:id="1305768765">
      <w:bodyDiv w:val="1"/>
      <w:marLeft w:val="0"/>
      <w:marRight w:val="0"/>
      <w:marTop w:val="0"/>
      <w:marBottom w:val="0"/>
      <w:divBdr>
        <w:top w:val="none" w:sz="0" w:space="0" w:color="auto"/>
        <w:left w:val="none" w:sz="0" w:space="0" w:color="auto"/>
        <w:bottom w:val="none" w:sz="0" w:space="0" w:color="auto"/>
        <w:right w:val="none" w:sz="0" w:space="0" w:color="auto"/>
      </w:divBdr>
    </w:div>
    <w:div w:id="1324428671">
      <w:bodyDiv w:val="1"/>
      <w:marLeft w:val="0"/>
      <w:marRight w:val="0"/>
      <w:marTop w:val="0"/>
      <w:marBottom w:val="0"/>
      <w:divBdr>
        <w:top w:val="none" w:sz="0" w:space="0" w:color="auto"/>
        <w:left w:val="none" w:sz="0" w:space="0" w:color="auto"/>
        <w:bottom w:val="none" w:sz="0" w:space="0" w:color="auto"/>
        <w:right w:val="none" w:sz="0" w:space="0" w:color="auto"/>
      </w:divBdr>
    </w:div>
    <w:div w:id="1325743196">
      <w:bodyDiv w:val="1"/>
      <w:marLeft w:val="0"/>
      <w:marRight w:val="0"/>
      <w:marTop w:val="0"/>
      <w:marBottom w:val="0"/>
      <w:divBdr>
        <w:top w:val="none" w:sz="0" w:space="0" w:color="auto"/>
        <w:left w:val="none" w:sz="0" w:space="0" w:color="auto"/>
        <w:bottom w:val="none" w:sz="0" w:space="0" w:color="auto"/>
        <w:right w:val="none" w:sz="0" w:space="0" w:color="auto"/>
      </w:divBdr>
    </w:div>
    <w:div w:id="1327589427">
      <w:bodyDiv w:val="1"/>
      <w:marLeft w:val="0"/>
      <w:marRight w:val="0"/>
      <w:marTop w:val="0"/>
      <w:marBottom w:val="0"/>
      <w:divBdr>
        <w:top w:val="none" w:sz="0" w:space="0" w:color="auto"/>
        <w:left w:val="none" w:sz="0" w:space="0" w:color="auto"/>
        <w:bottom w:val="none" w:sz="0" w:space="0" w:color="auto"/>
        <w:right w:val="none" w:sz="0" w:space="0" w:color="auto"/>
      </w:divBdr>
    </w:div>
    <w:div w:id="1337421502">
      <w:bodyDiv w:val="1"/>
      <w:marLeft w:val="0"/>
      <w:marRight w:val="0"/>
      <w:marTop w:val="0"/>
      <w:marBottom w:val="0"/>
      <w:divBdr>
        <w:top w:val="none" w:sz="0" w:space="0" w:color="auto"/>
        <w:left w:val="none" w:sz="0" w:space="0" w:color="auto"/>
        <w:bottom w:val="none" w:sz="0" w:space="0" w:color="auto"/>
        <w:right w:val="none" w:sz="0" w:space="0" w:color="auto"/>
      </w:divBdr>
    </w:div>
    <w:div w:id="1339818735">
      <w:bodyDiv w:val="1"/>
      <w:marLeft w:val="0"/>
      <w:marRight w:val="0"/>
      <w:marTop w:val="0"/>
      <w:marBottom w:val="0"/>
      <w:divBdr>
        <w:top w:val="none" w:sz="0" w:space="0" w:color="auto"/>
        <w:left w:val="none" w:sz="0" w:space="0" w:color="auto"/>
        <w:bottom w:val="none" w:sz="0" w:space="0" w:color="auto"/>
        <w:right w:val="none" w:sz="0" w:space="0" w:color="auto"/>
      </w:divBdr>
    </w:div>
    <w:div w:id="1351909057">
      <w:bodyDiv w:val="1"/>
      <w:marLeft w:val="0"/>
      <w:marRight w:val="0"/>
      <w:marTop w:val="0"/>
      <w:marBottom w:val="0"/>
      <w:divBdr>
        <w:top w:val="none" w:sz="0" w:space="0" w:color="auto"/>
        <w:left w:val="none" w:sz="0" w:space="0" w:color="auto"/>
        <w:bottom w:val="none" w:sz="0" w:space="0" w:color="auto"/>
        <w:right w:val="none" w:sz="0" w:space="0" w:color="auto"/>
      </w:divBdr>
    </w:div>
    <w:div w:id="1366953183">
      <w:bodyDiv w:val="1"/>
      <w:marLeft w:val="0"/>
      <w:marRight w:val="0"/>
      <w:marTop w:val="0"/>
      <w:marBottom w:val="0"/>
      <w:divBdr>
        <w:top w:val="none" w:sz="0" w:space="0" w:color="auto"/>
        <w:left w:val="none" w:sz="0" w:space="0" w:color="auto"/>
        <w:bottom w:val="none" w:sz="0" w:space="0" w:color="auto"/>
        <w:right w:val="none" w:sz="0" w:space="0" w:color="auto"/>
      </w:divBdr>
    </w:div>
    <w:div w:id="1379434174">
      <w:bodyDiv w:val="1"/>
      <w:marLeft w:val="0"/>
      <w:marRight w:val="0"/>
      <w:marTop w:val="0"/>
      <w:marBottom w:val="0"/>
      <w:divBdr>
        <w:top w:val="none" w:sz="0" w:space="0" w:color="auto"/>
        <w:left w:val="none" w:sz="0" w:space="0" w:color="auto"/>
        <w:bottom w:val="none" w:sz="0" w:space="0" w:color="auto"/>
        <w:right w:val="none" w:sz="0" w:space="0" w:color="auto"/>
      </w:divBdr>
    </w:div>
    <w:div w:id="1391422651">
      <w:bodyDiv w:val="1"/>
      <w:marLeft w:val="0"/>
      <w:marRight w:val="0"/>
      <w:marTop w:val="0"/>
      <w:marBottom w:val="0"/>
      <w:divBdr>
        <w:top w:val="none" w:sz="0" w:space="0" w:color="auto"/>
        <w:left w:val="none" w:sz="0" w:space="0" w:color="auto"/>
        <w:bottom w:val="none" w:sz="0" w:space="0" w:color="auto"/>
        <w:right w:val="none" w:sz="0" w:space="0" w:color="auto"/>
      </w:divBdr>
    </w:div>
    <w:div w:id="1392541544">
      <w:bodyDiv w:val="1"/>
      <w:marLeft w:val="0"/>
      <w:marRight w:val="0"/>
      <w:marTop w:val="0"/>
      <w:marBottom w:val="0"/>
      <w:divBdr>
        <w:top w:val="none" w:sz="0" w:space="0" w:color="auto"/>
        <w:left w:val="none" w:sz="0" w:space="0" w:color="auto"/>
        <w:bottom w:val="none" w:sz="0" w:space="0" w:color="auto"/>
        <w:right w:val="none" w:sz="0" w:space="0" w:color="auto"/>
      </w:divBdr>
    </w:div>
    <w:div w:id="1398816583">
      <w:bodyDiv w:val="1"/>
      <w:marLeft w:val="0"/>
      <w:marRight w:val="0"/>
      <w:marTop w:val="0"/>
      <w:marBottom w:val="0"/>
      <w:divBdr>
        <w:top w:val="none" w:sz="0" w:space="0" w:color="auto"/>
        <w:left w:val="none" w:sz="0" w:space="0" w:color="auto"/>
        <w:bottom w:val="none" w:sz="0" w:space="0" w:color="auto"/>
        <w:right w:val="none" w:sz="0" w:space="0" w:color="auto"/>
      </w:divBdr>
    </w:div>
    <w:div w:id="1399861167">
      <w:bodyDiv w:val="1"/>
      <w:marLeft w:val="0"/>
      <w:marRight w:val="0"/>
      <w:marTop w:val="0"/>
      <w:marBottom w:val="0"/>
      <w:divBdr>
        <w:top w:val="none" w:sz="0" w:space="0" w:color="auto"/>
        <w:left w:val="none" w:sz="0" w:space="0" w:color="auto"/>
        <w:bottom w:val="none" w:sz="0" w:space="0" w:color="auto"/>
        <w:right w:val="none" w:sz="0" w:space="0" w:color="auto"/>
      </w:divBdr>
    </w:div>
    <w:div w:id="1426345301">
      <w:bodyDiv w:val="1"/>
      <w:marLeft w:val="0"/>
      <w:marRight w:val="0"/>
      <w:marTop w:val="0"/>
      <w:marBottom w:val="0"/>
      <w:divBdr>
        <w:top w:val="none" w:sz="0" w:space="0" w:color="auto"/>
        <w:left w:val="none" w:sz="0" w:space="0" w:color="auto"/>
        <w:bottom w:val="none" w:sz="0" w:space="0" w:color="auto"/>
        <w:right w:val="none" w:sz="0" w:space="0" w:color="auto"/>
      </w:divBdr>
    </w:div>
    <w:div w:id="1429085832">
      <w:bodyDiv w:val="1"/>
      <w:marLeft w:val="0"/>
      <w:marRight w:val="0"/>
      <w:marTop w:val="0"/>
      <w:marBottom w:val="0"/>
      <w:divBdr>
        <w:top w:val="none" w:sz="0" w:space="0" w:color="auto"/>
        <w:left w:val="none" w:sz="0" w:space="0" w:color="auto"/>
        <w:bottom w:val="none" w:sz="0" w:space="0" w:color="auto"/>
        <w:right w:val="none" w:sz="0" w:space="0" w:color="auto"/>
      </w:divBdr>
    </w:div>
    <w:div w:id="1433166638">
      <w:bodyDiv w:val="1"/>
      <w:marLeft w:val="0"/>
      <w:marRight w:val="0"/>
      <w:marTop w:val="0"/>
      <w:marBottom w:val="0"/>
      <w:divBdr>
        <w:top w:val="none" w:sz="0" w:space="0" w:color="auto"/>
        <w:left w:val="none" w:sz="0" w:space="0" w:color="auto"/>
        <w:bottom w:val="none" w:sz="0" w:space="0" w:color="auto"/>
        <w:right w:val="none" w:sz="0" w:space="0" w:color="auto"/>
      </w:divBdr>
    </w:div>
    <w:div w:id="1434396375">
      <w:bodyDiv w:val="1"/>
      <w:marLeft w:val="0"/>
      <w:marRight w:val="0"/>
      <w:marTop w:val="0"/>
      <w:marBottom w:val="0"/>
      <w:divBdr>
        <w:top w:val="none" w:sz="0" w:space="0" w:color="auto"/>
        <w:left w:val="none" w:sz="0" w:space="0" w:color="auto"/>
        <w:bottom w:val="none" w:sz="0" w:space="0" w:color="auto"/>
        <w:right w:val="none" w:sz="0" w:space="0" w:color="auto"/>
      </w:divBdr>
    </w:div>
    <w:div w:id="1491869840">
      <w:bodyDiv w:val="1"/>
      <w:marLeft w:val="0"/>
      <w:marRight w:val="0"/>
      <w:marTop w:val="0"/>
      <w:marBottom w:val="0"/>
      <w:divBdr>
        <w:top w:val="none" w:sz="0" w:space="0" w:color="auto"/>
        <w:left w:val="none" w:sz="0" w:space="0" w:color="auto"/>
        <w:bottom w:val="none" w:sz="0" w:space="0" w:color="auto"/>
        <w:right w:val="none" w:sz="0" w:space="0" w:color="auto"/>
      </w:divBdr>
    </w:div>
    <w:div w:id="1496073902">
      <w:bodyDiv w:val="1"/>
      <w:marLeft w:val="0"/>
      <w:marRight w:val="0"/>
      <w:marTop w:val="0"/>
      <w:marBottom w:val="0"/>
      <w:divBdr>
        <w:top w:val="none" w:sz="0" w:space="0" w:color="auto"/>
        <w:left w:val="none" w:sz="0" w:space="0" w:color="auto"/>
        <w:bottom w:val="none" w:sz="0" w:space="0" w:color="auto"/>
        <w:right w:val="none" w:sz="0" w:space="0" w:color="auto"/>
      </w:divBdr>
    </w:div>
    <w:div w:id="1548377658">
      <w:bodyDiv w:val="1"/>
      <w:marLeft w:val="0"/>
      <w:marRight w:val="0"/>
      <w:marTop w:val="0"/>
      <w:marBottom w:val="0"/>
      <w:divBdr>
        <w:top w:val="none" w:sz="0" w:space="0" w:color="auto"/>
        <w:left w:val="none" w:sz="0" w:space="0" w:color="auto"/>
        <w:bottom w:val="none" w:sz="0" w:space="0" w:color="auto"/>
        <w:right w:val="none" w:sz="0" w:space="0" w:color="auto"/>
      </w:divBdr>
    </w:div>
    <w:div w:id="1550142038">
      <w:bodyDiv w:val="1"/>
      <w:marLeft w:val="0"/>
      <w:marRight w:val="0"/>
      <w:marTop w:val="0"/>
      <w:marBottom w:val="0"/>
      <w:divBdr>
        <w:top w:val="none" w:sz="0" w:space="0" w:color="auto"/>
        <w:left w:val="none" w:sz="0" w:space="0" w:color="auto"/>
        <w:bottom w:val="none" w:sz="0" w:space="0" w:color="auto"/>
        <w:right w:val="none" w:sz="0" w:space="0" w:color="auto"/>
      </w:divBdr>
    </w:div>
    <w:div w:id="1552690431">
      <w:bodyDiv w:val="1"/>
      <w:marLeft w:val="0"/>
      <w:marRight w:val="0"/>
      <w:marTop w:val="0"/>
      <w:marBottom w:val="0"/>
      <w:divBdr>
        <w:top w:val="none" w:sz="0" w:space="0" w:color="auto"/>
        <w:left w:val="none" w:sz="0" w:space="0" w:color="auto"/>
        <w:bottom w:val="none" w:sz="0" w:space="0" w:color="auto"/>
        <w:right w:val="none" w:sz="0" w:space="0" w:color="auto"/>
      </w:divBdr>
    </w:div>
    <w:div w:id="1553274129">
      <w:bodyDiv w:val="1"/>
      <w:marLeft w:val="0"/>
      <w:marRight w:val="0"/>
      <w:marTop w:val="0"/>
      <w:marBottom w:val="0"/>
      <w:divBdr>
        <w:top w:val="none" w:sz="0" w:space="0" w:color="auto"/>
        <w:left w:val="none" w:sz="0" w:space="0" w:color="auto"/>
        <w:bottom w:val="none" w:sz="0" w:space="0" w:color="auto"/>
        <w:right w:val="none" w:sz="0" w:space="0" w:color="auto"/>
      </w:divBdr>
    </w:div>
    <w:div w:id="1574005467">
      <w:bodyDiv w:val="1"/>
      <w:marLeft w:val="0"/>
      <w:marRight w:val="0"/>
      <w:marTop w:val="0"/>
      <w:marBottom w:val="0"/>
      <w:divBdr>
        <w:top w:val="none" w:sz="0" w:space="0" w:color="auto"/>
        <w:left w:val="none" w:sz="0" w:space="0" w:color="auto"/>
        <w:bottom w:val="none" w:sz="0" w:space="0" w:color="auto"/>
        <w:right w:val="none" w:sz="0" w:space="0" w:color="auto"/>
      </w:divBdr>
    </w:div>
    <w:div w:id="1581211776">
      <w:bodyDiv w:val="1"/>
      <w:marLeft w:val="0"/>
      <w:marRight w:val="0"/>
      <w:marTop w:val="0"/>
      <w:marBottom w:val="0"/>
      <w:divBdr>
        <w:top w:val="none" w:sz="0" w:space="0" w:color="auto"/>
        <w:left w:val="none" w:sz="0" w:space="0" w:color="auto"/>
        <w:bottom w:val="none" w:sz="0" w:space="0" w:color="auto"/>
        <w:right w:val="none" w:sz="0" w:space="0" w:color="auto"/>
      </w:divBdr>
    </w:div>
    <w:div w:id="1600214601">
      <w:bodyDiv w:val="1"/>
      <w:marLeft w:val="0"/>
      <w:marRight w:val="0"/>
      <w:marTop w:val="0"/>
      <w:marBottom w:val="0"/>
      <w:divBdr>
        <w:top w:val="none" w:sz="0" w:space="0" w:color="auto"/>
        <w:left w:val="none" w:sz="0" w:space="0" w:color="auto"/>
        <w:bottom w:val="none" w:sz="0" w:space="0" w:color="auto"/>
        <w:right w:val="none" w:sz="0" w:space="0" w:color="auto"/>
      </w:divBdr>
    </w:div>
    <w:div w:id="1601067554">
      <w:bodyDiv w:val="1"/>
      <w:marLeft w:val="0"/>
      <w:marRight w:val="0"/>
      <w:marTop w:val="0"/>
      <w:marBottom w:val="0"/>
      <w:divBdr>
        <w:top w:val="none" w:sz="0" w:space="0" w:color="auto"/>
        <w:left w:val="none" w:sz="0" w:space="0" w:color="auto"/>
        <w:bottom w:val="none" w:sz="0" w:space="0" w:color="auto"/>
        <w:right w:val="none" w:sz="0" w:space="0" w:color="auto"/>
      </w:divBdr>
    </w:div>
    <w:div w:id="1629892433">
      <w:bodyDiv w:val="1"/>
      <w:marLeft w:val="0"/>
      <w:marRight w:val="0"/>
      <w:marTop w:val="0"/>
      <w:marBottom w:val="0"/>
      <w:divBdr>
        <w:top w:val="none" w:sz="0" w:space="0" w:color="auto"/>
        <w:left w:val="none" w:sz="0" w:space="0" w:color="auto"/>
        <w:bottom w:val="none" w:sz="0" w:space="0" w:color="auto"/>
        <w:right w:val="none" w:sz="0" w:space="0" w:color="auto"/>
      </w:divBdr>
    </w:div>
    <w:div w:id="1634406890">
      <w:bodyDiv w:val="1"/>
      <w:marLeft w:val="0"/>
      <w:marRight w:val="0"/>
      <w:marTop w:val="0"/>
      <w:marBottom w:val="0"/>
      <w:divBdr>
        <w:top w:val="none" w:sz="0" w:space="0" w:color="auto"/>
        <w:left w:val="none" w:sz="0" w:space="0" w:color="auto"/>
        <w:bottom w:val="none" w:sz="0" w:space="0" w:color="auto"/>
        <w:right w:val="none" w:sz="0" w:space="0" w:color="auto"/>
      </w:divBdr>
    </w:div>
    <w:div w:id="1679041778">
      <w:bodyDiv w:val="1"/>
      <w:marLeft w:val="0"/>
      <w:marRight w:val="0"/>
      <w:marTop w:val="0"/>
      <w:marBottom w:val="0"/>
      <w:divBdr>
        <w:top w:val="none" w:sz="0" w:space="0" w:color="auto"/>
        <w:left w:val="none" w:sz="0" w:space="0" w:color="auto"/>
        <w:bottom w:val="none" w:sz="0" w:space="0" w:color="auto"/>
        <w:right w:val="none" w:sz="0" w:space="0" w:color="auto"/>
      </w:divBdr>
    </w:div>
    <w:div w:id="1685398097">
      <w:bodyDiv w:val="1"/>
      <w:marLeft w:val="0"/>
      <w:marRight w:val="0"/>
      <w:marTop w:val="0"/>
      <w:marBottom w:val="0"/>
      <w:divBdr>
        <w:top w:val="none" w:sz="0" w:space="0" w:color="auto"/>
        <w:left w:val="none" w:sz="0" w:space="0" w:color="auto"/>
        <w:bottom w:val="none" w:sz="0" w:space="0" w:color="auto"/>
        <w:right w:val="none" w:sz="0" w:space="0" w:color="auto"/>
      </w:divBdr>
    </w:div>
    <w:div w:id="1721977737">
      <w:bodyDiv w:val="1"/>
      <w:marLeft w:val="0"/>
      <w:marRight w:val="0"/>
      <w:marTop w:val="0"/>
      <w:marBottom w:val="0"/>
      <w:divBdr>
        <w:top w:val="none" w:sz="0" w:space="0" w:color="auto"/>
        <w:left w:val="none" w:sz="0" w:space="0" w:color="auto"/>
        <w:bottom w:val="none" w:sz="0" w:space="0" w:color="auto"/>
        <w:right w:val="none" w:sz="0" w:space="0" w:color="auto"/>
      </w:divBdr>
    </w:div>
    <w:div w:id="1743219014">
      <w:bodyDiv w:val="1"/>
      <w:marLeft w:val="0"/>
      <w:marRight w:val="0"/>
      <w:marTop w:val="0"/>
      <w:marBottom w:val="0"/>
      <w:divBdr>
        <w:top w:val="none" w:sz="0" w:space="0" w:color="auto"/>
        <w:left w:val="none" w:sz="0" w:space="0" w:color="auto"/>
        <w:bottom w:val="none" w:sz="0" w:space="0" w:color="auto"/>
        <w:right w:val="none" w:sz="0" w:space="0" w:color="auto"/>
      </w:divBdr>
    </w:div>
    <w:div w:id="1754738995">
      <w:bodyDiv w:val="1"/>
      <w:marLeft w:val="0"/>
      <w:marRight w:val="0"/>
      <w:marTop w:val="0"/>
      <w:marBottom w:val="0"/>
      <w:divBdr>
        <w:top w:val="none" w:sz="0" w:space="0" w:color="auto"/>
        <w:left w:val="none" w:sz="0" w:space="0" w:color="auto"/>
        <w:bottom w:val="none" w:sz="0" w:space="0" w:color="auto"/>
        <w:right w:val="none" w:sz="0" w:space="0" w:color="auto"/>
      </w:divBdr>
    </w:div>
    <w:div w:id="1764451877">
      <w:bodyDiv w:val="1"/>
      <w:marLeft w:val="0"/>
      <w:marRight w:val="0"/>
      <w:marTop w:val="0"/>
      <w:marBottom w:val="0"/>
      <w:divBdr>
        <w:top w:val="none" w:sz="0" w:space="0" w:color="auto"/>
        <w:left w:val="none" w:sz="0" w:space="0" w:color="auto"/>
        <w:bottom w:val="none" w:sz="0" w:space="0" w:color="auto"/>
        <w:right w:val="none" w:sz="0" w:space="0" w:color="auto"/>
      </w:divBdr>
    </w:div>
    <w:div w:id="1778673392">
      <w:bodyDiv w:val="1"/>
      <w:marLeft w:val="0"/>
      <w:marRight w:val="0"/>
      <w:marTop w:val="0"/>
      <w:marBottom w:val="0"/>
      <w:divBdr>
        <w:top w:val="none" w:sz="0" w:space="0" w:color="auto"/>
        <w:left w:val="none" w:sz="0" w:space="0" w:color="auto"/>
        <w:bottom w:val="none" w:sz="0" w:space="0" w:color="auto"/>
        <w:right w:val="none" w:sz="0" w:space="0" w:color="auto"/>
      </w:divBdr>
    </w:div>
    <w:div w:id="1788888458">
      <w:bodyDiv w:val="1"/>
      <w:marLeft w:val="0"/>
      <w:marRight w:val="0"/>
      <w:marTop w:val="0"/>
      <w:marBottom w:val="0"/>
      <w:divBdr>
        <w:top w:val="none" w:sz="0" w:space="0" w:color="auto"/>
        <w:left w:val="none" w:sz="0" w:space="0" w:color="auto"/>
        <w:bottom w:val="none" w:sz="0" w:space="0" w:color="auto"/>
        <w:right w:val="none" w:sz="0" w:space="0" w:color="auto"/>
      </w:divBdr>
    </w:div>
    <w:div w:id="1832141798">
      <w:bodyDiv w:val="1"/>
      <w:marLeft w:val="0"/>
      <w:marRight w:val="0"/>
      <w:marTop w:val="0"/>
      <w:marBottom w:val="0"/>
      <w:divBdr>
        <w:top w:val="none" w:sz="0" w:space="0" w:color="auto"/>
        <w:left w:val="none" w:sz="0" w:space="0" w:color="auto"/>
        <w:bottom w:val="none" w:sz="0" w:space="0" w:color="auto"/>
        <w:right w:val="none" w:sz="0" w:space="0" w:color="auto"/>
      </w:divBdr>
    </w:div>
    <w:div w:id="1838689740">
      <w:bodyDiv w:val="1"/>
      <w:marLeft w:val="0"/>
      <w:marRight w:val="0"/>
      <w:marTop w:val="0"/>
      <w:marBottom w:val="0"/>
      <w:divBdr>
        <w:top w:val="none" w:sz="0" w:space="0" w:color="auto"/>
        <w:left w:val="none" w:sz="0" w:space="0" w:color="auto"/>
        <w:bottom w:val="none" w:sz="0" w:space="0" w:color="auto"/>
        <w:right w:val="none" w:sz="0" w:space="0" w:color="auto"/>
      </w:divBdr>
    </w:div>
    <w:div w:id="1841193107">
      <w:bodyDiv w:val="1"/>
      <w:marLeft w:val="0"/>
      <w:marRight w:val="0"/>
      <w:marTop w:val="0"/>
      <w:marBottom w:val="0"/>
      <w:divBdr>
        <w:top w:val="none" w:sz="0" w:space="0" w:color="auto"/>
        <w:left w:val="none" w:sz="0" w:space="0" w:color="auto"/>
        <w:bottom w:val="none" w:sz="0" w:space="0" w:color="auto"/>
        <w:right w:val="none" w:sz="0" w:space="0" w:color="auto"/>
      </w:divBdr>
    </w:div>
    <w:div w:id="1856382205">
      <w:bodyDiv w:val="1"/>
      <w:marLeft w:val="0"/>
      <w:marRight w:val="0"/>
      <w:marTop w:val="0"/>
      <w:marBottom w:val="0"/>
      <w:divBdr>
        <w:top w:val="none" w:sz="0" w:space="0" w:color="auto"/>
        <w:left w:val="none" w:sz="0" w:space="0" w:color="auto"/>
        <w:bottom w:val="none" w:sz="0" w:space="0" w:color="auto"/>
        <w:right w:val="none" w:sz="0" w:space="0" w:color="auto"/>
      </w:divBdr>
    </w:div>
    <w:div w:id="1856457116">
      <w:bodyDiv w:val="1"/>
      <w:marLeft w:val="0"/>
      <w:marRight w:val="0"/>
      <w:marTop w:val="0"/>
      <w:marBottom w:val="0"/>
      <w:divBdr>
        <w:top w:val="none" w:sz="0" w:space="0" w:color="auto"/>
        <w:left w:val="none" w:sz="0" w:space="0" w:color="auto"/>
        <w:bottom w:val="none" w:sz="0" w:space="0" w:color="auto"/>
        <w:right w:val="none" w:sz="0" w:space="0" w:color="auto"/>
      </w:divBdr>
    </w:div>
    <w:div w:id="1859078818">
      <w:bodyDiv w:val="1"/>
      <w:marLeft w:val="0"/>
      <w:marRight w:val="0"/>
      <w:marTop w:val="0"/>
      <w:marBottom w:val="0"/>
      <w:divBdr>
        <w:top w:val="none" w:sz="0" w:space="0" w:color="auto"/>
        <w:left w:val="none" w:sz="0" w:space="0" w:color="auto"/>
        <w:bottom w:val="none" w:sz="0" w:space="0" w:color="auto"/>
        <w:right w:val="none" w:sz="0" w:space="0" w:color="auto"/>
      </w:divBdr>
    </w:div>
    <w:div w:id="1891376620">
      <w:bodyDiv w:val="1"/>
      <w:marLeft w:val="0"/>
      <w:marRight w:val="0"/>
      <w:marTop w:val="0"/>
      <w:marBottom w:val="0"/>
      <w:divBdr>
        <w:top w:val="none" w:sz="0" w:space="0" w:color="auto"/>
        <w:left w:val="none" w:sz="0" w:space="0" w:color="auto"/>
        <w:bottom w:val="none" w:sz="0" w:space="0" w:color="auto"/>
        <w:right w:val="none" w:sz="0" w:space="0" w:color="auto"/>
      </w:divBdr>
    </w:div>
    <w:div w:id="1893035887">
      <w:bodyDiv w:val="1"/>
      <w:marLeft w:val="0"/>
      <w:marRight w:val="0"/>
      <w:marTop w:val="0"/>
      <w:marBottom w:val="0"/>
      <w:divBdr>
        <w:top w:val="none" w:sz="0" w:space="0" w:color="auto"/>
        <w:left w:val="none" w:sz="0" w:space="0" w:color="auto"/>
        <w:bottom w:val="none" w:sz="0" w:space="0" w:color="auto"/>
        <w:right w:val="none" w:sz="0" w:space="0" w:color="auto"/>
      </w:divBdr>
    </w:div>
    <w:div w:id="1957177351">
      <w:bodyDiv w:val="1"/>
      <w:marLeft w:val="0"/>
      <w:marRight w:val="0"/>
      <w:marTop w:val="0"/>
      <w:marBottom w:val="0"/>
      <w:divBdr>
        <w:top w:val="none" w:sz="0" w:space="0" w:color="auto"/>
        <w:left w:val="none" w:sz="0" w:space="0" w:color="auto"/>
        <w:bottom w:val="none" w:sz="0" w:space="0" w:color="auto"/>
        <w:right w:val="none" w:sz="0" w:space="0" w:color="auto"/>
      </w:divBdr>
    </w:div>
    <w:div w:id="1962495379">
      <w:bodyDiv w:val="1"/>
      <w:marLeft w:val="0"/>
      <w:marRight w:val="0"/>
      <w:marTop w:val="0"/>
      <w:marBottom w:val="0"/>
      <w:divBdr>
        <w:top w:val="none" w:sz="0" w:space="0" w:color="auto"/>
        <w:left w:val="none" w:sz="0" w:space="0" w:color="auto"/>
        <w:bottom w:val="none" w:sz="0" w:space="0" w:color="auto"/>
        <w:right w:val="none" w:sz="0" w:space="0" w:color="auto"/>
      </w:divBdr>
    </w:div>
    <w:div w:id="1968971860">
      <w:bodyDiv w:val="1"/>
      <w:marLeft w:val="0"/>
      <w:marRight w:val="0"/>
      <w:marTop w:val="0"/>
      <w:marBottom w:val="0"/>
      <w:divBdr>
        <w:top w:val="none" w:sz="0" w:space="0" w:color="auto"/>
        <w:left w:val="none" w:sz="0" w:space="0" w:color="auto"/>
        <w:bottom w:val="none" w:sz="0" w:space="0" w:color="auto"/>
        <w:right w:val="none" w:sz="0" w:space="0" w:color="auto"/>
      </w:divBdr>
    </w:div>
    <w:div w:id="1980457358">
      <w:bodyDiv w:val="1"/>
      <w:marLeft w:val="0"/>
      <w:marRight w:val="0"/>
      <w:marTop w:val="0"/>
      <w:marBottom w:val="0"/>
      <w:divBdr>
        <w:top w:val="none" w:sz="0" w:space="0" w:color="auto"/>
        <w:left w:val="none" w:sz="0" w:space="0" w:color="auto"/>
        <w:bottom w:val="none" w:sz="0" w:space="0" w:color="auto"/>
        <w:right w:val="none" w:sz="0" w:space="0" w:color="auto"/>
      </w:divBdr>
    </w:div>
    <w:div w:id="1993295371">
      <w:bodyDiv w:val="1"/>
      <w:marLeft w:val="0"/>
      <w:marRight w:val="0"/>
      <w:marTop w:val="0"/>
      <w:marBottom w:val="0"/>
      <w:divBdr>
        <w:top w:val="none" w:sz="0" w:space="0" w:color="auto"/>
        <w:left w:val="none" w:sz="0" w:space="0" w:color="auto"/>
        <w:bottom w:val="none" w:sz="0" w:space="0" w:color="auto"/>
        <w:right w:val="none" w:sz="0" w:space="0" w:color="auto"/>
      </w:divBdr>
    </w:div>
    <w:div w:id="2003897010">
      <w:bodyDiv w:val="1"/>
      <w:marLeft w:val="0"/>
      <w:marRight w:val="0"/>
      <w:marTop w:val="0"/>
      <w:marBottom w:val="0"/>
      <w:divBdr>
        <w:top w:val="none" w:sz="0" w:space="0" w:color="auto"/>
        <w:left w:val="none" w:sz="0" w:space="0" w:color="auto"/>
        <w:bottom w:val="none" w:sz="0" w:space="0" w:color="auto"/>
        <w:right w:val="none" w:sz="0" w:space="0" w:color="auto"/>
      </w:divBdr>
    </w:div>
    <w:div w:id="2015301259">
      <w:bodyDiv w:val="1"/>
      <w:marLeft w:val="0"/>
      <w:marRight w:val="0"/>
      <w:marTop w:val="0"/>
      <w:marBottom w:val="0"/>
      <w:divBdr>
        <w:top w:val="none" w:sz="0" w:space="0" w:color="auto"/>
        <w:left w:val="none" w:sz="0" w:space="0" w:color="auto"/>
        <w:bottom w:val="none" w:sz="0" w:space="0" w:color="auto"/>
        <w:right w:val="none" w:sz="0" w:space="0" w:color="auto"/>
      </w:divBdr>
    </w:div>
    <w:div w:id="2036887490">
      <w:bodyDiv w:val="1"/>
      <w:marLeft w:val="0"/>
      <w:marRight w:val="0"/>
      <w:marTop w:val="0"/>
      <w:marBottom w:val="0"/>
      <w:divBdr>
        <w:top w:val="none" w:sz="0" w:space="0" w:color="auto"/>
        <w:left w:val="none" w:sz="0" w:space="0" w:color="auto"/>
        <w:bottom w:val="none" w:sz="0" w:space="0" w:color="auto"/>
        <w:right w:val="none" w:sz="0" w:space="0" w:color="auto"/>
      </w:divBdr>
    </w:div>
    <w:div w:id="2041006298">
      <w:bodyDiv w:val="1"/>
      <w:marLeft w:val="0"/>
      <w:marRight w:val="0"/>
      <w:marTop w:val="0"/>
      <w:marBottom w:val="0"/>
      <w:divBdr>
        <w:top w:val="none" w:sz="0" w:space="0" w:color="auto"/>
        <w:left w:val="none" w:sz="0" w:space="0" w:color="auto"/>
        <w:bottom w:val="none" w:sz="0" w:space="0" w:color="auto"/>
        <w:right w:val="none" w:sz="0" w:space="0" w:color="auto"/>
      </w:divBdr>
    </w:div>
    <w:div w:id="2046060649">
      <w:bodyDiv w:val="1"/>
      <w:marLeft w:val="0"/>
      <w:marRight w:val="0"/>
      <w:marTop w:val="0"/>
      <w:marBottom w:val="0"/>
      <w:divBdr>
        <w:top w:val="none" w:sz="0" w:space="0" w:color="auto"/>
        <w:left w:val="none" w:sz="0" w:space="0" w:color="auto"/>
        <w:bottom w:val="none" w:sz="0" w:space="0" w:color="auto"/>
        <w:right w:val="none" w:sz="0" w:space="0" w:color="auto"/>
      </w:divBdr>
    </w:div>
    <w:div w:id="2046714866">
      <w:bodyDiv w:val="1"/>
      <w:marLeft w:val="0"/>
      <w:marRight w:val="0"/>
      <w:marTop w:val="0"/>
      <w:marBottom w:val="0"/>
      <w:divBdr>
        <w:top w:val="none" w:sz="0" w:space="0" w:color="auto"/>
        <w:left w:val="none" w:sz="0" w:space="0" w:color="auto"/>
        <w:bottom w:val="none" w:sz="0" w:space="0" w:color="auto"/>
        <w:right w:val="none" w:sz="0" w:space="0" w:color="auto"/>
      </w:divBdr>
    </w:div>
    <w:div w:id="2057928031">
      <w:bodyDiv w:val="1"/>
      <w:marLeft w:val="0"/>
      <w:marRight w:val="0"/>
      <w:marTop w:val="0"/>
      <w:marBottom w:val="0"/>
      <w:divBdr>
        <w:top w:val="none" w:sz="0" w:space="0" w:color="auto"/>
        <w:left w:val="none" w:sz="0" w:space="0" w:color="auto"/>
        <w:bottom w:val="none" w:sz="0" w:space="0" w:color="auto"/>
        <w:right w:val="none" w:sz="0" w:space="0" w:color="auto"/>
      </w:divBdr>
    </w:div>
    <w:div w:id="2066490367">
      <w:bodyDiv w:val="1"/>
      <w:marLeft w:val="0"/>
      <w:marRight w:val="0"/>
      <w:marTop w:val="0"/>
      <w:marBottom w:val="0"/>
      <w:divBdr>
        <w:top w:val="none" w:sz="0" w:space="0" w:color="auto"/>
        <w:left w:val="none" w:sz="0" w:space="0" w:color="auto"/>
        <w:bottom w:val="none" w:sz="0" w:space="0" w:color="auto"/>
        <w:right w:val="none" w:sz="0" w:space="0" w:color="auto"/>
      </w:divBdr>
    </w:div>
    <w:div w:id="2080857720">
      <w:bodyDiv w:val="1"/>
      <w:marLeft w:val="0"/>
      <w:marRight w:val="0"/>
      <w:marTop w:val="0"/>
      <w:marBottom w:val="0"/>
      <w:divBdr>
        <w:top w:val="none" w:sz="0" w:space="0" w:color="auto"/>
        <w:left w:val="none" w:sz="0" w:space="0" w:color="auto"/>
        <w:bottom w:val="none" w:sz="0" w:space="0" w:color="auto"/>
        <w:right w:val="none" w:sz="0" w:space="0" w:color="auto"/>
      </w:divBdr>
    </w:div>
    <w:div w:id="2099590649">
      <w:bodyDiv w:val="1"/>
      <w:marLeft w:val="0"/>
      <w:marRight w:val="0"/>
      <w:marTop w:val="0"/>
      <w:marBottom w:val="0"/>
      <w:divBdr>
        <w:top w:val="none" w:sz="0" w:space="0" w:color="auto"/>
        <w:left w:val="none" w:sz="0" w:space="0" w:color="auto"/>
        <w:bottom w:val="none" w:sz="0" w:space="0" w:color="auto"/>
        <w:right w:val="none" w:sz="0" w:space="0" w:color="auto"/>
      </w:divBdr>
    </w:div>
    <w:div w:id="2108957630">
      <w:bodyDiv w:val="1"/>
      <w:marLeft w:val="0"/>
      <w:marRight w:val="0"/>
      <w:marTop w:val="0"/>
      <w:marBottom w:val="0"/>
      <w:divBdr>
        <w:top w:val="none" w:sz="0" w:space="0" w:color="auto"/>
        <w:left w:val="none" w:sz="0" w:space="0" w:color="auto"/>
        <w:bottom w:val="none" w:sz="0" w:space="0" w:color="auto"/>
        <w:right w:val="none" w:sz="0" w:space="0" w:color="auto"/>
      </w:divBdr>
    </w:div>
    <w:div w:id="2110007573">
      <w:bodyDiv w:val="1"/>
      <w:marLeft w:val="0"/>
      <w:marRight w:val="0"/>
      <w:marTop w:val="0"/>
      <w:marBottom w:val="0"/>
      <w:divBdr>
        <w:top w:val="none" w:sz="0" w:space="0" w:color="auto"/>
        <w:left w:val="none" w:sz="0" w:space="0" w:color="auto"/>
        <w:bottom w:val="none" w:sz="0" w:space="0" w:color="auto"/>
        <w:right w:val="none" w:sz="0" w:space="0" w:color="auto"/>
      </w:divBdr>
    </w:div>
    <w:div w:id="2119256861">
      <w:bodyDiv w:val="1"/>
      <w:marLeft w:val="0"/>
      <w:marRight w:val="0"/>
      <w:marTop w:val="0"/>
      <w:marBottom w:val="0"/>
      <w:divBdr>
        <w:top w:val="none" w:sz="0" w:space="0" w:color="auto"/>
        <w:left w:val="none" w:sz="0" w:space="0" w:color="auto"/>
        <w:bottom w:val="none" w:sz="0" w:space="0" w:color="auto"/>
        <w:right w:val="none" w:sz="0" w:space="0" w:color="auto"/>
      </w:divBdr>
    </w:div>
    <w:div w:id="2123530036">
      <w:bodyDiv w:val="1"/>
      <w:marLeft w:val="0"/>
      <w:marRight w:val="0"/>
      <w:marTop w:val="0"/>
      <w:marBottom w:val="0"/>
      <w:divBdr>
        <w:top w:val="none" w:sz="0" w:space="0" w:color="auto"/>
        <w:left w:val="none" w:sz="0" w:space="0" w:color="auto"/>
        <w:bottom w:val="none" w:sz="0" w:space="0" w:color="auto"/>
        <w:right w:val="none" w:sz="0" w:space="0" w:color="auto"/>
      </w:divBdr>
    </w:div>
    <w:div w:id="2131632324">
      <w:bodyDiv w:val="1"/>
      <w:marLeft w:val="0"/>
      <w:marRight w:val="0"/>
      <w:marTop w:val="0"/>
      <w:marBottom w:val="0"/>
      <w:divBdr>
        <w:top w:val="none" w:sz="0" w:space="0" w:color="auto"/>
        <w:left w:val="none" w:sz="0" w:space="0" w:color="auto"/>
        <w:bottom w:val="none" w:sz="0" w:space="0" w:color="auto"/>
        <w:right w:val="none" w:sz="0" w:space="0" w:color="auto"/>
      </w:divBdr>
    </w:div>
    <w:div w:id="213228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image" Target="media/image14.tmp"/><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image" Target="media/image10.tmp"/><Relationship Id="rId30"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definicion.de/principio-de-legalida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uardo.alvarado\Desktop\AGOSTO%202019\INFORME%202_09_2019AsigActualiz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uardo.alvarado\Desktop\AGOSTO%202019\INFORME%202_09_2019AsigActualiza.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icia.cifuentes\Documents\DOCUMENTOS%202014\PLANIFICACION\2019\InformeCuatri2019\II%20Informe%20Cuatrimestral\GraficaMIdes.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M:\Betzaida\Escritorio\II%20INFORME%20CUATRIMESTRAL\Grafica%20MINEDUC.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PGG!$D$11</c:f>
              <c:strCache>
                <c:ptCount val="1"/>
                <c:pt idx="0">
                  <c:v>Monto asignado actualizado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PGG!$B$12:$B$16</c:f>
              <c:strCache>
                <c:ptCount val="5"/>
                <c:pt idx="0">
                  <c:v>Ambiente y Recursos Naturales</c:v>
                </c:pt>
                <c:pt idx="1">
                  <c:v>Fomento de las Mipymes, Turismo, Vivienda y Trabajo Digno y Decente</c:v>
                </c:pt>
                <c:pt idx="2">
                  <c:v>Seguridad Alimentaria y Nutricional, Salud Integral y Educacion De Calidad</c:v>
                </c:pt>
                <c:pt idx="3">
                  <c:v>Seguridad Ciudadana</c:v>
                </c:pt>
                <c:pt idx="4">
                  <c:v>Tolerancia Cero a la Corrupcion y Modernizacion del Estado</c:v>
                </c:pt>
              </c:strCache>
            </c:strRef>
          </c:cat>
          <c:val>
            <c:numRef>
              <c:f>PGG!$D$12:$D$16</c:f>
              <c:numCache>
                <c:formatCode>#,##0.00,,</c:formatCode>
                <c:ptCount val="5"/>
                <c:pt idx="0">
                  <c:v>94504682.320000008</c:v>
                </c:pt>
                <c:pt idx="1">
                  <c:v>4899779939.7200003</c:v>
                </c:pt>
                <c:pt idx="2">
                  <c:v>3763166343.4400048</c:v>
                </c:pt>
                <c:pt idx="3">
                  <c:v>172502699.99999997</c:v>
                </c:pt>
                <c:pt idx="4">
                  <c:v>194909582.46000001</c:v>
                </c:pt>
              </c:numCache>
            </c:numRef>
          </c:val>
          <c:extLst xmlns:c16r2="http://schemas.microsoft.com/office/drawing/2015/06/chart">
            <c:ext xmlns:c16="http://schemas.microsoft.com/office/drawing/2014/chart" uri="{C3380CC4-5D6E-409C-BE32-E72D297353CC}">
              <c16:uniqueId val="{00000000-4576-4F51-A7DC-432B88D2BD75}"/>
            </c:ext>
          </c:extLst>
        </c:ser>
        <c:ser>
          <c:idx val="1"/>
          <c:order val="1"/>
          <c:tx>
            <c:strRef>
              <c:f>PGG!$E$11</c:f>
              <c:strCache>
                <c:ptCount val="1"/>
                <c:pt idx="0">
                  <c:v>Monto ejecutado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PGG!$B$12:$B$16</c:f>
              <c:strCache>
                <c:ptCount val="5"/>
                <c:pt idx="0">
                  <c:v>Ambiente y Recursos Naturales</c:v>
                </c:pt>
                <c:pt idx="1">
                  <c:v>Fomento de las Mipymes, Turismo, Vivienda y Trabajo Digno y Decente</c:v>
                </c:pt>
                <c:pt idx="2">
                  <c:v>Seguridad Alimentaria y Nutricional, Salud Integral y Educacion De Calidad</c:v>
                </c:pt>
                <c:pt idx="3">
                  <c:v>Seguridad Ciudadana</c:v>
                </c:pt>
                <c:pt idx="4">
                  <c:v>Tolerancia Cero a la Corrupcion y Modernizacion del Estado</c:v>
                </c:pt>
              </c:strCache>
            </c:strRef>
          </c:cat>
          <c:val>
            <c:numRef>
              <c:f>PGG!$E$12:$E$16</c:f>
              <c:numCache>
                <c:formatCode>#,##0.00,,</c:formatCode>
                <c:ptCount val="5"/>
                <c:pt idx="0">
                  <c:v>22527804.449999999</c:v>
                </c:pt>
                <c:pt idx="1">
                  <c:v>2773161235.8099952</c:v>
                </c:pt>
                <c:pt idx="2">
                  <c:v>664570143.9399997</c:v>
                </c:pt>
                <c:pt idx="3">
                  <c:v>19875572.469999991</c:v>
                </c:pt>
                <c:pt idx="4">
                  <c:v>35997179.850000009</c:v>
                </c:pt>
              </c:numCache>
            </c:numRef>
          </c:val>
          <c:extLst xmlns:c16r2="http://schemas.microsoft.com/office/drawing/2015/06/chart">
            <c:ext xmlns:c16="http://schemas.microsoft.com/office/drawing/2014/chart" uri="{C3380CC4-5D6E-409C-BE32-E72D297353CC}">
              <c16:uniqueId val="{00000001-4576-4F51-A7DC-432B88D2BD75}"/>
            </c:ext>
          </c:extLst>
        </c:ser>
        <c:dLbls>
          <c:showLegendKey val="0"/>
          <c:showVal val="0"/>
          <c:showCatName val="0"/>
          <c:showSerName val="0"/>
          <c:showPercent val="0"/>
          <c:showBubbleSize val="0"/>
        </c:dLbls>
        <c:gapWidth val="219"/>
        <c:overlap val="-27"/>
        <c:axId val="178795264"/>
        <c:axId val="178796800"/>
      </c:barChart>
      <c:catAx>
        <c:axId val="17879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crossAx val="178796800"/>
        <c:crosses val="autoZero"/>
        <c:auto val="1"/>
        <c:lblAlgn val="ctr"/>
        <c:lblOffset val="100"/>
        <c:noMultiLvlLbl val="0"/>
      </c:catAx>
      <c:valAx>
        <c:axId val="178796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crossAx val="1787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'Nivel Decisión'!$C$11</c:f>
              <c:strCache>
                <c:ptCount val="1"/>
                <c:pt idx="0">
                  <c:v>Monto asignado actualizado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Decisión'!$A$12:$A$14</c:f>
              <c:strCache>
                <c:ptCount val="3"/>
                <c:pt idx="0">
                  <c:v>CODEDE</c:v>
                </c:pt>
                <c:pt idx="1">
                  <c:v>Gobierno Central y EPNF</c:v>
                </c:pt>
                <c:pt idx="2">
                  <c:v>Gobiernos Locales</c:v>
                </c:pt>
              </c:strCache>
            </c:strRef>
          </c:cat>
          <c:val>
            <c:numRef>
              <c:f>'Nivel Decisión'!$C$12:$C$14</c:f>
              <c:numCache>
                <c:formatCode>#,##0.00,,</c:formatCode>
                <c:ptCount val="3"/>
                <c:pt idx="0">
                  <c:v>2652833678.8200045</c:v>
                </c:pt>
                <c:pt idx="1">
                  <c:v>5139232512.8400002</c:v>
                </c:pt>
                <c:pt idx="2">
                  <c:v>1332797056.2800002</c:v>
                </c:pt>
              </c:numCache>
            </c:numRef>
          </c:val>
          <c:extLst xmlns:c16r2="http://schemas.microsoft.com/office/drawing/2015/06/chart">
            <c:ext xmlns:c16="http://schemas.microsoft.com/office/drawing/2014/chart" uri="{C3380CC4-5D6E-409C-BE32-E72D297353CC}">
              <c16:uniqueId val="{00000000-2FDF-4571-BE44-C3EF1BC8D771}"/>
            </c:ext>
          </c:extLst>
        </c:ser>
        <c:ser>
          <c:idx val="1"/>
          <c:order val="1"/>
          <c:tx>
            <c:strRef>
              <c:f>'Nivel Decisión'!$D$11</c:f>
              <c:strCache>
                <c:ptCount val="1"/>
                <c:pt idx="0">
                  <c:v>Monto ejecutado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Decisión'!$A$12:$A$14</c:f>
              <c:strCache>
                <c:ptCount val="3"/>
                <c:pt idx="0">
                  <c:v>CODEDE</c:v>
                </c:pt>
                <c:pt idx="1">
                  <c:v>Gobierno Central y EPNF</c:v>
                </c:pt>
                <c:pt idx="2">
                  <c:v>Gobiernos Locales</c:v>
                </c:pt>
              </c:strCache>
            </c:strRef>
          </c:cat>
          <c:val>
            <c:numRef>
              <c:f>'Nivel Decisión'!$D$12:$D$14</c:f>
              <c:numCache>
                <c:formatCode>#,##0.00,,</c:formatCode>
                <c:ptCount val="3"/>
                <c:pt idx="0">
                  <c:v>377590873.61000007</c:v>
                </c:pt>
                <c:pt idx="1">
                  <c:v>2604960639.2099991</c:v>
                </c:pt>
                <c:pt idx="2">
                  <c:v>533580423.69999993</c:v>
                </c:pt>
              </c:numCache>
            </c:numRef>
          </c:val>
          <c:extLst xmlns:c16r2="http://schemas.microsoft.com/office/drawing/2015/06/chart">
            <c:ext xmlns:c16="http://schemas.microsoft.com/office/drawing/2014/chart" uri="{C3380CC4-5D6E-409C-BE32-E72D297353CC}">
              <c16:uniqueId val="{00000001-2FDF-4571-BE44-C3EF1BC8D771}"/>
            </c:ext>
          </c:extLst>
        </c:ser>
        <c:dLbls>
          <c:showLegendKey val="0"/>
          <c:showVal val="0"/>
          <c:showCatName val="0"/>
          <c:showSerName val="0"/>
          <c:showPercent val="0"/>
          <c:showBubbleSize val="0"/>
        </c:dLbls>
        <c:gapWidth val="219"/>
        <c:overlap val="-27"/>
        <c:axId val="178827648"/>
        <c:axId val="178829184"/>
      </c:barChart>
      <c:catAx>
        <c:axId val="17882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crossAx val="178829184"/>
        <c:crosses val="autoZero"/>
        <c:auto val="1"/>
        <c:lblAlgn val="ctr"/>
        <c:lblOffset val="100"/>
        <c:noMultiLvlLbl val="0"/>
      </c:catAx>
      <c:valAx>
        <c:axId val="178829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crossAx val="17882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12404251491559"/>
          <c:y val="4.8454852019245299E-2"/>
          <c:w val="0.86286774971553104"/>
          <c:h val="0.70234964198282601"/>
        </c:manualLayout>
      </c:layout>
      <c:bar3DChart>
        <c:barDir val="col"/>
        <c:grouping val="clustered"/>
        <c:varyColors val="0"/>
        <c:ser>
          <c:idx val="0"/>
          <c:order val="0"/>
          <c:tx>
            <c:strRef>
              <c:f>'Consolidado '!$B$10</c:f>
              <c:strCache>
                <c:ptCount val="1"/>
                <c:pt idx="0">
                  <c:v>Asignado   </c:v>
                </c:pt>
              </c:strCache>
            </c:strRef>
          </c:tx>
          <c:invertIfNegative val="0"/>
          <c:dLbls>
            <c:dLbl>
              <c:idx val="0"/>
              <c:layout>
                <c:manualLayout>
                  <c:x val="1.0471868656435008E-2"/>
                  <c:y val="-3.18137837444126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6C2-4AAD-96A2-79DF5BCDFA1B}"/>
                </c:ext>
                <c:ext xmlns:c15="http://schemas.microsoft.com/office/drawing/2012/chart" uri="{CE6537A1-D6FC-4f65-9D91-7224C49458BB}"/>
              </c:extLst>
            </c:dLbl>
            <c:dLbl>
              <c:idx val="1"/>
              <c:layout>
                <c:manualLayout>
                  <c:x val="7.3027372219772232E-3"/>
                  <c:y val="-3.65200990577249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C2-4AAD-96A2-79DF5BCDFA1B}"/>
                </c:ext>
                <c:ext xmlns:c15="http://schemas.microsoft.com/office/drawing/2012/chart" uri="{CE6537A1-D6FC-4f65-9D91-7224C49458BB}"/>
              </c:extLst>
            </c:dLbl>
            <c:spPr>
              <a:noFill/>
              <a:ln>
                <a:noFill/>
              </a:ln>
              <a:effectLst/>
            </c:spPr>
            <c:txPr>
              <a:bodyPr/>
              <a:lstStyle/>
              <a:p>
                <a:pPr>
                  <a:defRPr sz="1000">
                    <a:latin typeface="Candara" pitchFamily="34"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'!$A$11:$A$12</c:f>
              <c:strCache>
                <c:ptCount val="2"/>
                <c:pt idx="0">
                  <c:v>Gobierno Central </c:v>
                </c:pt>
                <c:pt idx="1">
                  <c:v>Descentralizadas</c:v>
                </c:pt>
              </c:strCache>
            </c:strRef>
          </c:cat>
          <c:val>
            <c:numRef>
              <c:f>'Consolidado '!$B$11:$B$12</c:f>
              <c:numCache>
                <c:formatCode>_(* #,##0.00_);_(* \(#,##0.00\);_(* "-"??_);_(@_)</c:formatCode>
                <c:ptCount val="2"/>
                <c:pt idx="0">
                  <c:v>254.48000000000002</c:v>
                </c:pt>
                <c:pt idx="1">
                  <c:v>131.26000000000002</c:v>
                </c:pt>
              </c:numCache>
            </c:numRef>
          </c:val>
          <c:shape val="cylinder"/>
          <c:extLst xmlns:c16r2="http://schemas.microsoft.com/office/drawing/2015/06/chart">
            <c:ext xmlns:c16="http://schemas.microsoft.com/office/drawing/2014/chart" uri="{C3380CC4-5D6E-409C-BE32-E72D297353CC}">
              <c16:uniqueId val="{00000002-C6C2-4AAD-96A2-79DF5BCDFA1B}"/>
            </c:ext>
          </c:extLst>
        </c:ser>
        <c:ser>
          <c:idx val="1"/>
          <c:order val="1"/>
          <c:tx>
            <c:strRef>
              <c:f>'Consolidado '!$C$10</c:f>
              <c:strCache>
                <c:ptCount val="1"/>
                <c:pt idx="0">
                  <c:v>Vigente  </c:v>
                </c:pt>
              </c:strCache>
            </c:strRef>
          </c:tx>
          <c:spPr>
            <a:solidFill>
              <a:schemeClr val="accent6">
                <a:lumMod val="60000"/>
                <a:lumOff val="40000"/>
              </a:schemeClr>
            </a:solidFill>
          </c:spPr>
          <c:invertIfNegative val="0"/>
          <c:dLbls>
            <c:dLbl>
              <c:idx val="0"/>
              <c:layout>
                <c:manualLayout>
                  <c:x val="2.2924360299340522E-2"/>
                  <c:y val="-1.92837482461722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6C2-4AAD-96A2-79DF5BCDFA1B}"/>
                </c:ext>
                <c:ext xmlns:c15="http://schemas.microsoft.com/office/drawing/2012/chart" uri="{CE6537A1-D6FC-4f65-9D91-7224C49458BB}"/>
              </c:extLst>
            </c:dLbl>
            <c:dLbl>
              <c:idx val="1"/>
              <c:layout>
                <c:manualLayout>
                  <c:x val="1.1621663474194762E-2"/>
                  <c:y val="-3.23808355503760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6C2-4AAD-96A2-79DF5BCDFA1B}"/>
                </c:ext>
                <c:ext xmlns:c15="http://schemas.microsoft.com/office/drawing/2012/chart" uri="{CE6537A1-D6FC-4f65-9D91-7224C49458BB}"/>
              </c:extLst>
            </c:dLbl>
            <c:spPr>
              <a:noFill/>
              <a:ln>
                <a:noFill/>
              </a:ln>
              <a:effectLst/>
            </c:spPr>
            <c:txPr>
              <a:bodyPr/>
              <a:lstStyle/>
              <a:p>
                <a:pPr>
                  <a:defRPr sz="1000">
                    <a:latin typeface="Candara" pitchFamily="34"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'!$A$11:$A$12</c:f>
              <c:strCache>
                <c:ptCount val="2"/>
                <c:pt idx="0">
                  <c:v>Gobierno Central </c:v>
                </c:pt>
                <c:pt idx="1">
                  <c:v>Descentralizadas</c:v>
                </c:pt>
              </c:strCache>
            </c:strRef>
          </c:cat>
          <c:val>
            <c:numRef>
              <c:f>'Consolidado '!$C$11:$C$12</c:f>
              <c:numCache>
                <c:formatCode>_(* #,##0.00_);_(* \(#,##0.00\);_(* "-"??_);_(@_)</c:formatCode>
                <c:ptCount val="2"/>
                <c:pt idx="0">
                  <c:v>268.63</c:v>
                </c:pt>
                <c:pt idx="1">
                  <c:v>137.52000000000001</c:v>
                </c:pt>
              </c:numCache>
            </c:numRef>
          </c:val>
          <c:shape val="cylinder"/>
          <c:extLst xmlns:c16r2="http://schemas.microsoft.com/office/drawing/2015/06/chart">
            <c:ext xmlns:c16="http://schemas.microsoft.com/office/drawing/2014/chart" uri="{C3380CC4-5D6E-409C-BE32-E72D297353CC}">
              <c16:uniqueId val="{00000005-C6C2-4AAD-96A2-79DF5BCDFA1B}"/>
            </c:ext>
          </c:extLst>
        </c:ser>
        <c:ser>
          <c:idx val="2"/>
          <c:order val="2"/>
          <c:tx>
            <c:strRef>
              <c:f>'Consolidado '!$D$10</c:f>
              <c:strCache>
                <c:ptCount val="1"/>
                <c:pt idx="0">
                  <c:v>Ejecución  </c:v>
                </c:pt>
              </c:strCache>
            </c:strRef>
          </c:tx>
          <c:invertIfNegative val="0"/>
          <c:dLbls>
            <c:dLbl>
              <c:idx val="0"/>
              <c:layout>
                <c:manualLayout>
                  <c:x val="8.3715868427104156E-2"/>
                  <c:y val="2.56758064500363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6C2-4AAD-96A2-79DF5BCDFA1B}"/>
                </c:ext>
                <c:ext xmlns:c15="http://schemas.microsoft.com/office/drawing/2012/chart" uri="{CE6537A1-D6FC-4f65-9D91-7224C49458BB}"/>
              </c:extLst>
            </c:dLbl>
            <c:dLbl>
              <c:idx val="1"/>
              <c:layout>
                <c:manualLayout>
                  <c:x val="8.9206415751191384E-2"/>
                  <c:y val="-1.1445935646914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6C2-4AAD-96A2-79DF5BCDFA1B}"/>
                </c:ext>
                <c:ext xmlns:c15="http://schemas.microsoft.com/office/drawing/2012/chart" uri="{CE6537A1-D6FC-4f65-9D91-7224C49458BB}"/>
              </c:extLst>
            </c:dLbl>
            <c:spPr>
              <a:noFill/>
              <a:ln>
                <a:noFill/>
              </a:ln>
              <a:effectLst/>
            </c:spPr>
            <c:txPr>
              <a:bodyPr/>
              <a:lstStyle/>
              <a:p>
                <a:pPr>
                  <a:defRPr sz="1000">
                    <a:latin typeface="Candara" pitchFamily="34"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'!$A$11:$A$12</c:f>
              <c:strCache>
                <c:ptCount val="2"/>
                <c:pt idx="0">
                  <c:v>Gobierno Central </c:v>
                </c:pt>
                <c:pt idx="1">
                  <c:v>Descentralizadas</c:v>
                </c:pt>
              </c:strCache>
            </c:strRef>
          </c:cat>
          <c:val>
            <c:numRef>
              <c:f>'Consolidado '!$D$11:$D$12</c:f>
              <c:numCache>
                <c:formatCode>_(* #,##0.00_);_(* \(#,##0.00\);_(* "-"??_);_(@_)</c:formatCode>
                <c:ptCount val="2"/>
                <c:pt idx="0">
                  <c:v>49.510000000000005</c:v>
                </c:pt>
                <c:pt idx="1">
                  <c:v>34.730000000000004</c:v>
                </c:pt>
              </c:numCache>
            </c:numRef>
          </c:val>
          <c:shape val="cylinder"/>
          <c:extLst xmlns:c16r2="http://schemas.microsoft.com/office/drawing/2015/06/chart">
            <c:ext xmlns:c16="http://schemas.microsoft.com/office/drawing/2014/chart" uri="{C3380CC4-5D6E-409C-BE32-E72D297353CC}">
              <c16:uniqueId val="{00000008-C6C2-4AAD-96A2-79DF5BCDFA1B}"/>
            </c:ext>
          </c:extLst>
        </c:ser>
        <c:ser>
          <c:idx val="3"/>
          <c:order val="3"/>
          <c:tx>
            <c:strRef>
              <c:f>'Consolidado '!$E$10</c:f>
              <c:strCache>
                <c:ptCount val="1"/>
                <c:pt idx="0">
                  <c:v>% de ejecución </c:v>
                </c:pt>
              </c:strCache>
            </c:strRef>
          </c:tx>
          <c:spPr>
            <a:noFill/>
          </c:spPr>
          <c:invertIfNegative val="0"/>
          <c:dLbls>
            <c:dLbl>
              <c:idx val="0"/>
              <c:layout>
                <c:manualLayout>
                  <c:x val="-4.6922295819362199E-2"/>
                  <c:y val="-0.1847847678139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6C2-4AAD-96A2-79DF5BCDFA1B}"/>
                </c:ext>
                <c:ext xmlns:c15="http://schemas.microsoft.com/office/drawing/2012/chart" uri="{CE6537A1-D6FC-4f65-9D91-7224C49458BB}"/>
              </c:extLst>
            </c:dLbl>
            <c:dLbl>
              <c:idx val="1"/>
              <c:layout>
                <c:manualLayout>
                  <c:x val="-4.6922295819362199E-2"/>
                  <c:y val="-0.128545925435772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6C2-4AAD-96A2-79DF5BCDFA1B}"/>
                </c:ext>
                <c:ext xmlns:c15="http://schemas.microsoft.com/office/drawing/2012/chart" uri="{CE6537A1-D6FC-4f65-9D91-7224C49458BB}"/>
              </c:extLst>
            </c:dLbl>
            <c:spPr>
              <a:solidFill>
                <a:schemeClr val="accent3">
                  <a:lumMod val="40000"/>
                  <a:lumOff val="60000"/>
                </a:schemeClr>
              </a:solidFill>
            </c:spPr>
            <c:txPr>
              <a:bodyPr/>
              <a:lstStyle/>
              <a:p>
                <a:pPr>
                  <a:defRPr sz="1000" i="1">
                    <a:latin typeface="Candara" pitchFamily="34"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'Consolidado '!$A$11:$A$12</c:f>
              <c:strCache>
                <c:ptCount val="2"/>
                <c:pt idx="0">
                  <c:v>Gobierno Central </c:v>
                </c:pt>
                <c:pt idx="1">
                  <c:v>Descentralizadas</c:v>
                </c:pt>
              </c:strCache>
            </c:strRef>
          </c:cat>
          <c:val>
            <c:numRef>
              <c:f>'Consolidado '!$E$11:$E$12</c:f>
              <c:numCache>
                <c:formatCode>0.00%</c:formatCode>
                <c:ptCount val="2"/>
                <c:pt idx="0">
                  <c:v>0.18430555038528834</c:v>
                </c:pt>
                <c:pt idx="1">
                  <c:v>0.25254508435136708</c:v>
                </c:pt>
              </c:numCache>
            </c:numRef>
          </c:val>
          <c:shape val="cylinder"/>
          <c:extLst xmlns:c16r2="http://schemas.microsoft.com/office/drawing/2015/06/chart">
            <c:ext xmlns:c16="http://schemas.microsoft.com/office/drawing/2014/chart" uri="{C3380CC4-5D6E-409C-BE32-E72D297353CC}">
              <c16:uniqueId val="{0000000B-C6C2-4AAD-96A2-79DF5BCDFA1B}"/>
            </c:ext>
          </c:extLst>
        </c:ser>
        <c:dLbls>
          <c:showLegendKey val="0"/>
          <c:showVal val="0"/>
          <c:showCatName val="0"/>
          <c:showSerName val="0"/>
          <c:showPercent val="0"/>
          <c:showBubbleSize val="0"/>
        </c:dLbls>
        <c:gapWidth val="150"/>
        <c:shape val="box"/>
        <c:axId val="179444352"/>
        <c:axId val="179454336"/>
        <c:axId val="0"/>
      </c:bar3DChart>
      <c:catAx>
        <c:axId val="179444352"/>
        <c:scaling>
          <c:orientation val="minMax"/>
        </c:scaling>
        <c:delete val="0"/>
        <c:axPos val="b"/>
        <c:numFmt formatCode="General" sourceLinked="1"/>
        <c:majorTickMark val="none"/>
        <c:minorTickMark val="none"/>
        <c:tickLblPos val="nextTo"/>
        <c:txPr>
          <a:bodyPr/>
          <a:lstStyle/>
          <a:p>
            <a:pPr>
              <a:defRPr sz="1000">
                <a:latin typeface="Candara" pitchFamily="34" charset="0"/>
              </a:defRPr>
            </a:pPr>
            <a:endParaRPr lang="es-GT"/>
          </a:p>
        </c:txPr>
        <c:crossAx val="179454336"/>
        <c:crosses val="autoZero"/>
        <c:auto val="1"/>
        <c:lblAlgn val="ctr"/>
        <c:lblOffset val="100"/>
        <c:noMultiLvlLbl val="0"/>
      </c:catAx>
      <c:valAx>
        <c:axId val="179454336"/>
        <c:scaling>
          <c:orientation val="minMax"/>
        </c:scaling>
        <c:delete val="0"/>
        <c:axPos val="l"/>
        <c:majorGridlines/>
        <c:numFmt formatCode="_(* #,##0.00_);_(* \(#,##0.00\);_(* &quot;-&quot;??_);_(@_)" sourceLinked="1"/>
        <c:majorTickMark val="none"/>
        <c:minorTickMark val="none"/>
        <c:tickLblPos val="nextTo"/>
        <c:txPr>
          <a:bodyPr/>
          <a:lstStyle/>
          <a:p>
            <a:pPr>
              <a:defRPr>
                <a:latin typeface="Candara" pitchFamily="34" charset="0"/>
              </a:defRPr>
            </a:pPr>
            <a:endParaRPr lang="es-GT"/>
          </a:p>
        </c:txPr>
        <c:crossAx val="179444352"/>
        <c:crosses val="autoZero"/>
        <c:crossBetween val="between"/>
      </c:valAx>
      <c:spPr>
        <a:noFill/>
        <a:ln w="25400">
          <a:noFill/>
        </a:ln>
      </c:spPr>
    </c:plotArea>
    <c:legend>
      <c:legendPos val="r"/>
      <c:legendEntry>
        <c:idx val="3"/>
        <c:delete val="1"/>
      </c:legendEntry>
      <c:layout>
        <c:manualLayout>
          <c:xMode val="edge"/>
          <c:yMode val="edge"/>
          <c:x val="0.13196159827147799"/>
          <c:y val="0.87455378937406403"/>
          <c:w val="0.74844975887059595"/>
          <c:h val="9.7806723320855701E-2"/>
        </c:manualLayout>
      </c:layout>
      <c:overlay val="0"/>
      <c:txPr>
        <a:bodyPr/>
        <a:lstStyle/>
        <a:p>
          <a:pPr>
            <a:defRPr sz="1000">
              <a:latin typeface="Candara" pitchFamily="34" charset="0"/>
            </a:defRPr>
          </a:pPr>
          <a:endParaRPr lang="es-GT"/>
        </a:p>
      </c:txPr>
    </c:legend>
    <c:plotVisOnly val="1"/>
    <c:dispBlanksAs val="gap"/>
    <c:showDLblsOverMax val="0"/>
  </c:chart>
  <c:spPr>
    <a:ln>
      <a:solidFill>
        <a:schemeClr val="bg1">
          <a:lumMod val="50000"/>
        </a:schemeClr>
      </a:solid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154400975468619E-2"/>
          <c:y val="0.10864084006649026"/>
          <c:w val="0.71724014564137295"/>
          <c:h val="0.88341769704296003"/>
        </c:manualLayout>
      </c:layout>
      <c:doughnutChart>
        <c:varyColors val="1"/>
        <c:ser>
          <c:idx val="0"/>
          <c:order val="0"/>
          <c:tx>
            <c:strRef>
              <c:f>'Fuente acumulada '!$E$132</c:f>
              <c:strCache>
                <c:ptCount val="1"/>
                <c:pt idx="0">
                  <c:v>Asignado 2019</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EFD-4333-B98A-95235FC5F7C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EFD-4333-B98A-95235FC5F7C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EFD-4333-B98A-95235FC5F7C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EFD-4333-B98A-95235FC5F7C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BEFD-4333-B98A-95235FC5F7C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GT"/>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'Fuente acumulada '!$C$134:$C$138</c:f>
              <c:strCache>
                <c:ptCount val="5"/>
                <c:pt idx="0">
                  <c:v> BID </c:v>
                </c:pt>
                <c:pt idx="1">
                  <c:v> KFW </c:v>
                </c:pt>
                <c:pt idx="2">
                  <c:v> UE </c:v>
                </c:pt>
                <c:pt idx="3">
                  <c:v> FM </c:v>
                </c:pt>
                <c:pt idx="4">
                  <c:v>VARIOS</c:v>
                </c:pt>
              </c:strCache>
            </c:strRef>
          </c:cat>
          <c:val>
            <c:numRef>
              <c:f>'Fuente acumulada '!$E$134:$E$138</c:f>
              <c:numCache>
                <c:formatCode>_(* #,##0.00_);_(* \(#,##0.00\);_(* "-"??_);_(@_)</c:formatCode>
                <c:ptCount val="5"/>
                <c:pt idx="0">
                  <c:v>103.8</c:v>
                </c:pt>
                <c:pt idx="1">
                  <c:v>61.79</c:v>
                </c:pt>
                <c:pt idx="2">
                  <c:v>33.19</c:v>
                </c:pt>
                <c:pt idx="3">
                  <c:v>30.08</c:v>
                </c:pt>
                <c:pt idx="4">
                  <c:v>83.17</c:v>
                </c:pt>
              </c:numCache>
            </c:numRef>
          </c:val>
          <c:extLst xmlns:c16r2="http://schemas.microsoft.com/office/drawing/2015/06/chart">
            <c:ext xmlns:c16="http://schemas.microsoft.com/office/drawing/2014/chart" uri="{C3380CC4-5D6E-409C-BE32-E72D297353CC}">
              <c16:uniqueId val="{00000014-BEFD-4333-B98A-95235FC5F7C0}"/>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680450458235096E-2"/>
          <c:y val="0.10329626741619088"/>
          <c:w val="0.82027506511712289"/>
          <c:h val="0.89490016294796404"/>
        </c:manualLayout>
      </c:layout>
      <c:doughnutChart>
        <c:varyColors val="1"/>
        <c:ser>
          <c:idx val="0"/>
          <c:order val="0"/>
          <c:tx>
            <c:strRef>
              <c:f>'Fuente acumulada '!$F$132</c:f>
              <c:strCache>
                <c:ptCount val="1"/>
                <c:pt idx="0">
                  <c:v>Vigente
Agosto
2019</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147-45E3-959A-4AB46818B1E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147-45E3-959A-4AB46818B1E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147-45E3-959A-4AB46818B1EA}"/>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147-45E3-959A-4AB46818B1EA}"/>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0147-45E3-959A-4AB46818B1EA}"/>
              </c:ext>
            </c:extLst>
          </c:dPt>
          <c:dLbls>
            <c:numFmt formatCode="0.00%" sourceLinked="0"/>
            <c:spPr>
              <a:noFill/>
              <a:ln>
                <a:noFill/>
              </a:ln>
              <a:effectLst/>
            </c:spPr>
            <c:txPr>
              <a:bodyPr rot="0" spcFirstLastPara="1" vertOverflow="ellipsis" vert="horz" wrap="square" anchor="ctr" anchorCtr="1"/>
              <a:lstStyle/>
              <a:p>
                <a:pPr>
                  <a:defRPr sz="800" b="1" i="0" u="none" strike="noStrike" kern="1200" baseline="0">
                    <a:solidFill>
                      <a:schemeClr val="lt1"/>
                    </a:solidFill>
                    <a:latin typeface="+mn-lt"/>
                    <a:ea typeface="+mn-ea"/>
                    <a:cs typeface="+mn-cs"/>
                  </a:defRPr>
                </a:pPr>
                <a:endParaRPr lang="es-GT"/>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'Fuente acumulada '!$C$134:$C$138</c:f>
              <c:strCache>
                <c:ptCount val="5"/>
                <c:pt idx="0">
                  <c:v> BID </c:v>
                </c:pt>
                <c:pt idx="1">
                  <c:v> KFW </c:v>
                </c:pt>
                <c:pt idx="2">
                  <c:v> UE </c:v>
                </c:pt>
                <c:pt idx="3">
                  <c:v> FM </c:v>
                </c:pt>
                <c:pt idx="4">
                  <c:v>VARIOS</c:v>
                </c:pt>
              </c:strCache>
            </c:strRef>
          </c:cat>
          <c:val>
            <c:numRef>
              <c:f>'Fuente acumulada '!$F$134:$F$138</c:f>
              <c:numCache>
                <c:formatCode>_(* #,##0.00_);_(* \(#,##0.00\);_(* "-"??_);_(@_)</c:formatCode>
                <c:ptCount val="5"/>
                <c:pt idx="0">
                  <c:v>55.03</c:v>
                </c:pt>
                <c:pt idx="1">
                  <c:v>96.37</c:v>
                </c:pt>
                <c:pt idx="2">
                  <c:v>35.979999999999997</c:v>
                </c:pt>
                <c:pt idx="3">
                  <c:v>28.79</c:v>
                </c:pt>
                <c:pt idx="4">
                  <c:v>66.27</c:v>
                </c:pt>
              </c:numCache>
            </c:numRef>
          </c:val>
          <c:extLst xmlns:c16r2="http://schemas.microsoft.com/office/drawing/2015/06/chart">
            <c:ext xmlns:c16="http://schemas.microsoft.com/office/drawing/2014/chart" uri="{C3380CC4-5D6E-409C-BE32-E72D297353CC}">
              <c16:uniqueId val="{00000015-0147-45E3-959A-4AB46818B1EA}"/>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t"/>
      <c:layout>
        <c:manualLayout>
          <c:xMode val="edge"/>
          <c:yMode val="edge"/>
          <c:x val="0.13207389446690221"/>
          <c:y val="1.1724137506592904E-2"/>
          <c:w val="0.63578640753988991"/>
          <c:h val="7.205482588271061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G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G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'Fuente acumulada '!$E$132</c:f>
              <c:strCache>
                <c:ptCount val="1"/>
                <c:pt idx="0">
                  <c:v>Asignado 2019</c:v>
                </c:pt>
              </c:strCache>
            </c:strRef>
          </c:tx>
          <c:spPr>
            <a:solidFill>
              <a:schemeClr val="accent1"/>
            </a:solidFill>
            <a:ln>
              <a:noFill/>
            </a:ln>
            <a:effectLst/>
          </c:spPr>
          <c:invertIfNegative val="0"/>
          <c:dLbls>
            <c:dLbl>
              <c:idx val="2"/>
              <c:layout>
                <c:manualLayout>
                  <c:x val="-1.496365968362556E-2"/>
                  <c:y val="-4.54235748353395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BD7-4150-9D7F-F76231FAB9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VARIOS</c:v>
                </c:pt>
              </c:strCache>
            </c:strRef>
          </c:cat>
          <c:val>
            <c:numRef>
              <c:f>'Fuente acumulada '!$E$133:$E$138</c:f>
              <c:numCache>
                <c:formatCode>_(* #,##0.00_);_(* \(#,##0.00\);_(* "-"??_);_(@_)</c:formatCode>
                <c:ptCount val="5"/>
                <c:pt idx="0">
                  <c:v>103.8</c:v>
                </c:pt>
                <c:pt idx="1">
                  <c:v>61.79</c:v>
                </c:pt>
                <c:pt idx="2">
                  <c:v>33.19</c:v>
                </c:pt>
                <c:pt idx="3">
                  <c:v>30.08</c:v>
                </c:pt>
                <c:pt idx="4">
                  <c:v>83.17</c:v>
                </c:pt>
              </c:numCache>
            </c:numRef>
          </c:val>
          <c:extLst xmlns:c16r2="http://schemas.microsoft.com/office/drawing/2015/06/chart">
            <c:ext xmlns:c16="http://schemas.microsoft.com/office/drawing/2014/chart" uri="{C3380CC4-5D6E-409C-BE32-E72D297353CC}">
              <c16:uniqueId val="{00000000-618C-4D54-B7F6-749CC5A2EAAC}"/>
            </c:ext>
          </c:extLst>
        </c:ser>
        <c:ser>
          <c:idx val="1"/>
          <c:order val="1"/>
          <c:tx>
            <c:strRef>
              <c:f>'Fuente acumulada '!$F$132</c:f>
              <c:strCache>
                <c:ptCount val="1"/>
                <c:pt idx="0">
                  <c:v>Vigente
Agosto
2019</c:v>
                </c:pt>
              </c:strCache>
            </c:strRef>
          </c:tx>
          <c:spPr>
            <a:solidFill>
              <a:schemeClr val="accent2"/>
            </a:solidFill>
            <a:ln>
              <a:noFill/>
            </a:ln>
            <a:effectLst/>
          </c:spPr>
          <c:invertIfNegative val="0"/>
          <c:dLbls>
            <c:dLbl>
              <c:idx val="3"/>
              <c:layout>
                <c:manualLayout>
                  <c:x val="1.0688328345446694E-2"/>
                  <c:y val="-4.54235748353395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BD7-4150-9D7F-F76231FAB9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VARIOS</c:v>
                </c:pt>
              </c:strCache>
            </c:strRef>
          </c:cat>
          <c:val>
            <c:numRef>
              <c:f>'Fuente acumulada '!$F$133:$F$138</c:f>
              <c:numCache>
                <c:formatCode>_(* #,##0.00_);_(* \(#,##0.00\);_(* "-"??_);_(@_)</c:formatCode>
                <c:ptCount val="5"/>
                <c:pt idx="0">
                  <c:v>55.03</c:v>
                </c:pt>
                <c:pt idx="1">
                  <c:v>96.37</c:v>
                </c:pt>
                <c:pt idx="2">
                  <c:v>35.979999999999997</c:v>
                </c:pt>
                <c:pt idx="3">
                  <c:v>28.79</c:v>
                </c:pt>
                <c:pt idx="4">
                  <c:v>66.27</c:v>
                </c:pt>
              </c:numCache>
            </c:numRef>
          </c:val>
          <c:extLst xmlns:c16r2="http://schemas.microsoft.com/office/drawing/2015/06/chart">
            <c:ext xmlns:c16="http://schemas.microsoft.com/office/drawing/2014/chart" uri="{C3380CC4-5D6E-409C-BE32-E72D297353CC}">
              <c16:uniqueId val="{00000001-618C-4D54-B7F6-749CC5A2EAAC}"/>
            </c:ext>
          </c:extLst>
        </c:ser>
        <c:ser>
          <c:idx val="2"/>
          <c:order val="2"/>
          <c:tx>
            <c:strRef>
              <c:f>'Fuente acumulada '!$I$132</c:f>
              <c:strCache>
                <c:ptCount val="1"/>
                <c:pt idx="0">
                  <c:v>Ejecución  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'Fuente acumulada '!$C$133:$C$138</c:f>
              <c:strCache>
                <c:ptCount val="5"/>
                <c:pt idx="0">
                  <c:v> BID </c:v>
                </c:pt>
                <c:pt idx="1">
                  <c:v> KFW </c:v>
                </c:pt>
                <c:pt idx="2">
                  <c:v> UE </c:v>
                </c:pt>
                <c:pt idx="3">
                  <c:v> FM </c:v>
                </c:pt>
                <c:pt idx="4">
                  <c:v>VARIOS</c:v>
                </c:pt>
              </c:strCache>
            </c:strRef>
          </c:cat>
          <c:val>
            <c:numRef>
              <c:f>'Fuente acumulada '!$I$133:$I$138</c:f>
              <c:numCache>
                <c:formatCode>_(* #,##0.00_);_(* \(#,##0.00\);_(* "-"??_);_(@_)</c:formatCode>
                <c:ptCount val="5"/>
                <c:pt idx="0">
                  <c:v>15.540000000000001</c:v>
                </c:pt>
                <c:pt idx="1">
                  <c:v>13.889999999999999</c:v>
                </c:pt>
                <c:pt idx="2">
                  <c:v>7.44</c:v>
                </c:pt>
                <c:pt idx="3">
                  <c:v>4.5999999999999996</c:v>
                </c:pt>
                <c:pt idx="4">
                  <c:v>20.849999999999998</c:v>
                </c:pt>
              </c:numCache>
            </c:numRef>
          </c:val>
          <c:extLst xmlns:c16r2="http://schemas.microsoft.com/office/drawing/2015/06/chart">
            <c:ext xmlns:c16="http://schemas.microsoft.com/office/drawing/2014/chart" uri="{C3380CC4-5D6E-409C-BE32-E72D297353CC}">
              <c16:uniqueId val="{00000002-618C-4D54-B7F6-749CC5A2EAAC}"/>
            </c:ext>
          </c:extLst>
        </c:ser>
        <c:dLbls>
          <c:showLegendKey val="0"/>
          <c:showVal val="0"/>
          <c:showCatName val="0"/>
          <c:showSerName val="0"/>
          <c:showPercent val="0"/>
          <c:showBubbleSize val="0"/>
        </c:dLbls>
        <c:gapWidth val="219"/>
        <c:overlap val="-27"/>
        <c:axId val="184213888"/>
        <c:axId val="184215424"/>
      </c:barChart>
      <c:catAx>
        <c:axId val="18421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4215424"/>
        <c:crosses val="autoZero"/>
        <c:auto val="1"/>
        <c:lblAlgn val="ctr"/>
        <c:lblOffset val="100"/>
        <c:noMultiLvlLbl val="0"/>
      </c:catAx>
      <c:valAx>
        <c:axId val="184215424"/>
        <c:scaling>
          <c:orientation val="minMax"/>
        </c:scaling>
        <c:delete val="1"/>
        <c:axPos val="l"/>
        <c:numFmt formatCode="_(* #,##0.00_);_(* \(#,##0.00\);_(* &quot;-&quot;??_);_(@_)" sourceLinked="1"/>
        <c:majorTickMark val="none"/>
        <c:minorTickMark val="none"/>
        <c:tickLblPos val="nextTo"/>
        <c:crossAx val="184213888"/>
        <c:crosses val="autoZero"/>
        <c:crossBetween val="between"/>
      </c:valAx>
      <c:spPr>
        <a:noFill/>
        <a:ln>
          <a:noFill/>
        </a:ln>
        <a:effectLst/>
      </c:spPr>
    </c:plotArea>
    <c:legend>
      <c:legendPos val="b"/>
      <c:layout>
        <c:manualLayout>
          <c:xMode val="edge"/>
          <c:yMode val="edge"/>
          <c:x val="0.17983801425561871"/>
          <c:y val="0.88516031481613944"/>
          <c:w val="0.61600351287002286"/>
          <c:h val="9.93991778436419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1E7-4788-9624-4EBCEF1EFF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1E7-4788-9624-4EBCEF1EFFB0}"/>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1E7-4788-9624-4EBCEF1EFFB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1E7-4788-9624-4EBCEF1EFFB0}"/>
              </c:ext>
            </c:extLst>
          </c:dPt>
          <c:dPt>
            <c:idx val="4"/>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1E7-4788-9624-4EBCEF1EFFB0}"/>
              </c:ext>
            </c:extLst>
          </c:dPt>
          <c:dPt>
            <c:idx val="5"/>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B-31E7-4788-9624-4EBCEF1EFFB0}"/>
              </c:ext>
            </c:extLst>
          </c:dPt>
          <c:dLbls>
            <c:dLbl>
              <c:idx val="2"/>
              <c:delete val="1"/>
              <c:extLst xmlns:c16r2="http://schemas.microsoft.com/office/drawing/2015/06/chart">
                <c:ext xmlns:c16="http://schemas.microsoft.com/office/drawing/2014/chart" uri="{C3380CC4-5D6E-409C-BE32-E72D297353CC}">
                  <c16:uniqueId val="{00000005-31E7-4788-9624-4EBCEF1EFFB0}"/>
                </c:ext>
                <c:ext xmlns:c15="http://schemas.microsoft.com/office/drawing/2012/chart" uri="{CE6537A1-D6FC-4f65-9D91-7224C49458BB}"/>
              </c:extLst>
            </c:dLbl>
            <c:dLbl>
              <c:idx val="4"/>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1E7-4788-9624-4EBCEF1EFFB0}"/>
                </c:ext>
                <c:ext xmlns:c15="http://schemas.microsoft.com/office/drawing/2012/chart" uri="{CE6537A1-D6FC-4f65-9D91-7224C49458BB}"/>
              </c:extLst>
            </c:dLbl>
            <c:dLbl>
              <c:idx val="5"/>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fld id="{45E4EACB-B052-4BD0-B7FA-32DA39BA7FC7}" type="CELLREF">
                      <a:rPr lang="en-US"/>
                      <a:pPr>
                        <a:defRPr sz="900" b="0" i="0" u="none" strike="noStrike" kern="1200" baseline="0">
                          <a:solidFill>
                            <a:sysClr val="windowText" lastClr="000000"/>
                          </a:solidFill>
                          <a:latin typeface="+mn-lt"/>
                          <a:ea typeface="+mn-ea"/>
                          <a:cs typeface="+mn-cs"/>
                        </a:defRPr>
                      </a:pPr>
                      <a:t>[CELLREF]</a:t>
                    </a:fld>
                    <a:r>
                      <a:rPr lang="en-US"/>
                      <a:t> </a:t>
                    </a:r>
                    <a:fld id="{8446A470-FCF7-48A7-BADE-3EC554663A28}" type="VALUE">
                      <a:rPr lang="en-US"/>
                      <a:pPr>
                        <a:defRPr sz="900" b="0" i="0" u="none" strike="noStrike" kern="1200" baseline="0">
                          <a:solidFill>
                            <a:sysClr val="windowText" lastClr="000000"/>
                          </a:solidFill>
                          <a:latin typeface="+mn-lt"/>
                          <a:ea typeface="+mn-ea"/>
                          <a:cs typeface="+mn-cs"/>
                        </a:defRPr>
                      </a:pPr>
                      <a:t>[VALOR]</a:t>
                    </a:fld>
                    <a:endParaRPr lang="en-US"/>
                  </a:p>
                </c:rich>
              </c:tx>
              <c:numFmt formatCode="&quot;Q&quot;#,##0.00" sourceLinked="0"/>
              <c:spPr>
                <a:noFill/>
                <a:ln>
                  <a:noFill/>
                </a:ln>
                <a:effectLst/>
              </c:spPr>
              <c:dLblPos val="inEnd"/>
              <c:showLegendKey val="0"/>
              <c:showVal val="1"/>
              <c:showCatName val="1"/>
              <c:showSerName val="0"/>
              <c:showPercent val="0"/>
              <c:showBubbleSize val="0"/>
              <c:separator>(Nueva línea)</c:separator>
              <c:extLst xmlns:c16r2="http://schemas.microsoft.com/office/drawing/2015/06/chart">
                <c:ext xmlns:c16="http://schemas.microsoft.com/office/drawing/2014/chart" uri="{C3380CC4-5D6E-409C-BE32-E72D297353CC}">
                  <c16:uniqueId val="{0000000B-31E7-4788-9624-4EBCEF1EFFB0}"/>
                </c:ext>
                <c:ext xmlns:c15="http://schemas.microsoft.com/office/drawing/2012/chart" uri="{CE6537A1-D6FC-4f65-9D91-7224C49458BB}">
                  <c15:dlblFieldTable>
                    <c15:dlblFTEntry>
                      <c15:txfldGUID>{45E4EACB-B052-4BD0-B7FA-32DA39BA7FC7}</c15:txfldGUID>
                      <c15:f>grafica!$A$8</c15:f>
                      <c15:dlblFieldTableCache>
                        <c:ptCount val="1"/>
                        <c:pt idx="0">
                          <c:v>Presupuesto sin Ejecutarse</c:v>
                        </c:pt>
                      </c15:dlblFieldTableCache>
                    </c15:dlblFTEntry>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grafica!$A$4:$A$8</c:f>
              <c:strCache>
                <c:ptCount val="5"/>
                <c:pt idx="0">
                  <c:v>Ejecutado I Cuatrimestre</c:v>
                </c:pt>
                <c:pt idx="1">
                  <c:v>Ejecutado II Cuatrimestre </c:v>
                </c:pt>
                <c:pt idx="4">
                  <c:v>Presupuesto sin Ejecutarse</c:v>
                </c:pt>
              </c:strCache>
            </c:strRef>
          </c:cat>
          <c:val>
            <c:numRef>
              <c:f>grafica!$B$4:$B$8</c:f>
              <c:numCache>
                <c:formatCode>_([$Q-100A]* #,##0.00_);_([$Q-100A]* \(#,##0.00\);_([$Q-100A]* "-"??_);_(@_)</c:formatCode>
                <c:ptCount val="5"/>
                <c:pt idx="0">
                  <c:v>231.1</c:v>
                </c:pt>
                <c:pt idx="1">
                  <c:v>328.8</c:v>
                </c:pt>
                <c:pt idx="2">
                  <c:v>0</c:v>
                </c:pt>
                <c:pt idx="4" formatCode="_(&quot;Q&quot;* #,##0.00_);_(&quot;Q&quot;* \(#,##0.00\);_(&quot;Q&quot;* &quot;-&quot;??_);_(@_)">
                  <c:v>599.1</c:v>
                </c:pt>
              </c:numCache>
            </c:numRef>
          </c:val>
          <c:extLst xmlns:c16r2="http://schemas.microsoft.com/office/drawing/2015/06/chart">
            <c:ext xmlns:c16="http://schemas.microsoft.com/office/drawing/2014/chart" uri="{C3380CC4-5D6E-409C-BE32-E72D297353CC}">
              <c16:uniqueId val="{0000000C-31E7-4788-9624-4EBCEF1EFFB0}"/>
            </c:ext>
          </c:extLst>
        </c:ser>
        <c:dLbls>
          <c:dLblPos val="ctr"/>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72B-42E2-A519-A27F251762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72B-42E2-A519-A27F25176277}"/>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72B-42E2-A519-A27F2517627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72B-42E2-A519-A27F25176277}"/>
              </c:ext>
            </c:extLst>
          </c:dPt>
          <c:dPt>
            <c:idx val="4"/>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72B-42E2-A519-A27F25176277}"/>
              </c:ext>
            </c:extLst>
          </c:dPt>
          <c:dPt>
            <c:idx val="5"/>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B-072B-42E2-A519-A27F25176277}"/>
              </c:ext>
            </c:extLst>
          </c:dPt>
          <c:dLbls>
            <c:dLbl>
              <c:idx val="4"/>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072B-42E2-A519-A27F25176277}"/>
                </c:ext>
                <c:ext xmlns:c15="http://schemas.microsoft.com/office/drawing/2012/chart" uri="{CE6537A1-D6FC-4f65-9D91-7224C49458BB}"/>
              </c:extLst>
            </c:dLbl>
            <c:dLbl>
              <c:idx val="5"/>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fld id="{45E4EACB-B052-4BD0-B7FA-32DA39BA7FC7}" type="CELLREF">
                      <a:rPr lang="en-US"/>
                      <a:pPr>
                        <a:defRPr sz="900" b="0" i="0" u="none" strike="noStrike" kern="1200" baseline="0">
                          <a:solidFill>
                            <a:sysClr val="windowText" lastClr="000000"/>
                          </a:solidFill>
                          <a:latin typeface="+mn-lt"/>
                          <a:ea typeface="+mn-ea"/>
                          <a:cs typeface="+mn-cs"/>
                        </a:defRPr>
                      </a:pPr>
                      <a:t>[CELLREF]</a:t>
                    </a:fld>
                    <a:r>
                      <a:rPr lang="en-US"/>
                      <a:t> </a:t>
                    </a:r>
                    <a:fld id="{8446A470-FCF7-48A7-BADE-3EC554663A28}" type="VALUE">
                      <a:rPr lang="en-US"/>
                      <a:pPr>
                        <a:defRPr sz="900" b="0" i="0" u="none" strike="noStrike" kern="1200" baseline="0">
                          <a:solidFill>
                            <a:sysClr val="windowText" lastClr="000000"/>
                          </a:solidFill>
                          <a:latin typeface="+mn-lt"/>
                          <a:ea typeface="+mn-ea"/>
                          <a:cs typeface="+mn-cs"/>
                        </a:defRPr>
                      </a:pPr>
                      <a:t>[VALOR]</a:t>
                    </a:fld>
                    <a:endParaRPr lang="en-US"/>
                  </a:p>
                </c:rich>
              </c:tx>
              <c:numFmt formatCode="&quot;Q&quot;#,##0.00" sourceLinked="0"/>
              <c:spPr>
                <a:noFill/>
                <a:ln>
                  <a:noFill/>
                </a:ln>
                <a:effectLst/>
              </c:spPr>
              <c:dLblPos val="inEnd"/>
              <c:showLegendKey val="0"/>
              <c:showVal val="1"/>
              <c:showCatName val="1"/>
              <c:showSerName val="0"/>
              <c:showPercent val="0"/>
              <c:showBubbleSize val="0"/>
              <c:separator>(Nueva línea)</c:separator>
              <c:extLst xmlns:c16r2="http://schemas.microsoft.com/office/drawing/2015/06/chart">
                <c:ext xmlns:c16="http://schemas.microsoft.com/office/drawing/2014/chart" uri="{C3380CC4-5D6E-409C-BE32-E72D297353CC}">
                  <c16:uniqueId val="{0000000B-072B-42E2-A519-A27F25176277}"/>
                </c:ext>
                <c:ext xmlns:c15="http://schemas.microsoft.com/office/drawing/2012/chart" uri="{CE6537A1-D6FC-4f65-9D91-7224C49458BB}">
                  <c15:dlblFieldTable>
                    <c15:dlblFTEntry>
                      <c15:txfldGUID>{45E4EACB-B052-4BD0-B7FA-32DA39BA7FC7}</c15:txfldGUID>
                      <c15:f>MINEDUC!$A$8</c15:f>
                      <c15:dlblFieldTableCache>
                        <c:ptCount val="1"/>
                        <c:pt idx="0">
                          <c:v>Presupuesto sin Ejecutarse</c:v>
                        </c:pt>
                      </c15:dlblFieldTableCache>
                    </c15:dlblFTEntry>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MINEDUC!$A$4:$A$8</c:f>
              <c:strCache>
                <c:ptCount val="5"/>
                <c:pt idx="0">
                  <c:v>Ejecutado I Cuatrimestre</c:v>
                </c:pt>
                <c:pt idx="1">
                  <c:v>Ejecutado II Cuatrimestre </c:v>
                </c:pt>
                <c:pt idx="2">
                  <c:v>Ejecutado III Cuatrimestre </c:v>
                </c:pt>
                <c:pt idx="4">
                  <c:v>Presupuesto sin Ejecutarse</c:v>
                </c:pt>
              </c:strCache>
            </c:strRef>
          </c:cat>
          <c:val>
            <c:numRef>
              <c:f>MINEDUC!$B$4:$B$8</c:f>
              <c:numCache>
                <c:formatCode>_([$Q-100A]* #,##0.00_);_([$Q-100A]* \(#,##0.00\);_([$Q-100A]* "-"??_);_(@_)</c:formatCode>
                <c:ptCount val="5"/>
                <c:pt idx="0">
                  <c:v>5272.0350220800001</c:v>
                </c:pt>
                <c:pt idx="1">
                  <c:v>5540.17896913</c:v>
                </c:pt>
                <c:pt idx="4" formatCode="_(&quot;Q&quot;* #,##0.00_);_(&quot;Q&quot;* \(#,##0.00\);_(&quot;Q&quot;* &quot;-&quot;??_);_(@_)">
                  <c:v>5949.2343497900001</c:v>
                </c:pt>
              </c:numCache>
            </c:numRef>
          </c:val>
          <c:extLst xmlns:c16r2="http://schemas.microsoft.com/office/drawing/2015/06/chart">
            <c:ext xmlns:c16="http://schemas.microsoft.com/office/drawing/2014/chart" uri="{C3380CC4-5D6E-409C-BE32-E72D297353CC}">
              <c16:uniqueId val="{0000000C-072B-42E2-A519-A27F25176277}"/>
            </c:ext>
          </c:extLst>
        </c:ser>
        <c:dLbls>
          <c:dLblPos val="ctr"/>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G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G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9A0-405C-82F9-2C21A8D7BAF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9A0-405C-82F9-2C21A8D7BAF8}"/>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9A0-405C-82F9-2C21A8D7BAF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9A0-405C-82F9-2C21A8D7BAF8}"/>
              </c:ext>
            </c:extLst>
          </c:dPt>
          <c:dPt>
            <c:idx val="4"/>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9A0-405C-82F9-2C21A8D7BAF8}"/>
              </c:ext>
            </c:extLst>
          </c:dPt>
          <c:dPt>
            <c:idx val="5"/>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B-D9A0-405C-82F9-2C21A8D7BAF8}"/>
              </c:ext>
            </c:extLst>
          </c:dPt>
          <c:dLbls>
            <c:dLbl>
              <c:idx val="2"/>
              <c:delete val="1"/>
              <c:extLst xmlns:c16r2="http://schemas.microsoft.com/office/drawing/2015/06/chart">
                <c:ext xmlns:c16="http://schemas.microsoft.com/office/drawing/2014/chart" uri="{C3380CC4-5D6E-409C-BE32-E72D297353CC}">
                  <c16:uniqueId val="{00000005-D9A0-405C-82F9-2C21A8D7BAF8}"/>
                </c:ext>
                <c:ext xmlns:c15="http://schemas.microsoft.com/office/drawing/2012/chart" uri="{CE6537A1-D6FC-4f65-9D91-7224C49458BB}"/>
              </c:extLst>
            </c:dLbl>
            <c:dLbl>
              <c:idx val="4"/>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D9A0-405C-82F9-2C21A8D7BAF8}"/>
                </c:ext>
                <c:ext xmlns:c15="http://schemas.microsoft.com/office/drawing/2012/chart" uri="{CE6537A1-D6FC-4f65-9D91-7224C49458BB}"/>
              </c:extLst>
            </c:dLbl>
            <c:dLbl>
              <c:idx val="5"/>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fld id="{45E4EACB-B052-4BD0-B7FA-32DA39BA7FC7}" type="CELLREF">
                      <a:rPr lang="en-US"/>
                      <a:pPr>
                        <a:defRPr sz="900" b="0" i="0" u="none" strike="noStrike" kern="1200" baseline="0">
                          <a:solidFill>
                            <a:sysClr val="windowText" lastClr="000000"/>
                          </a:solidFill>
                          <a:latin typeface="+mn-lt"/>
                          <a:ea typeface="+mn-ea"/>
                          <a:cs typeface="+mn-cs"/>
                        </a:defRPr>
                      </a:pPr>
                      <a:t>[CELLREF]</a:t>
                    </a:fld>
                    <a:r>
                      <a:rPr lang="en-US"/>
                      <a:t> </a:t>
                    </a:r>
                    <a:fld id="{8446A470-FCF7-48A7-BADE-3EC554663A28}" type="VALUE">
                      <a:rPr lang="en-US"/>
                      <a:pPr>
                        <a:defRPr sz="900" b="0" i="0" u="none" strike="noStrike" kern="1200" baseline="0">
                          <a:solidFill>
                            <a:sysClr val="windowText" lastClr="000000"/>
                          </a:solidFill>
                          <a:latin typeface="+mn-lt"/>
                          <a:ea typeface="+mn-ea"/>
                          <a:cs typeface="+mn-cs"/>
                        </a:defRPr>
                      </a:pPr>
                      <a:t>[VALOR]</a:t>
                    </a:fld>
                    <a:endParaRPr lang="en-US"/>
                  </a:p>
                </c:rich>
              </c:tx>
              <c:numFmt formatCode="&quot;Q&quot;#,##0.00" sourceLinked="0"/>
              <c:spPr>
                <a:noFill/>
                <a:ln>
                  <a:noFill/>
                </a:ln>
                <a:effectLst/>
              </c:spPr>
              <c:dLblPos val="inEnd"/>
              <c:showLegendKey val="0"/>
              <c:showVal val="1"/>
              <c:showCatName val="1"/>
              <c:showSerName val="0"/>
              <c:showPercent val="0"/>
              <c:showBubbleSize val="0"/>
              <c:separator>(Nueva línea)</c:separator>
              <c:extLst xmlns:c16r2="http://schemas.microsoft.com/office/drawing/2015/06/chart">
                <c:ext xmlns:c16="http://schemas.microsoft.com/office/drawing/2014/chart" uri="{C3380CC4-5D6E-409C-BE32-E72D297353CC}">
                  <c16:uniqueId val="{0000000B-D9A0-405C-82F9-2C21A8D7BAF8}"/>
                </c:ext>
                <c:ext xmlns:c15="http://schemas.microsoft.com/office/drawing/2012/chart" uri="{CE6537A1-D6FC-4f65-9D91-7224C49458BB}">
                  <c15:dlblFieldTable>
                    <c15:dlblFTEntry>
                      <c15:txfldGUID>{45E4EACB-B052-4BD0-B7FA-32DA39BA7FC7}</c15:txfldGUID>
                      <c15:f>MINDEF!$A$8</c15:f>
                      <c15:dlblFieldTableCache>
                        <c:ptCount val="1"/>
                        <c:pt idx="0">
                          <c:v>Presupuesto sin Ejecutarse</c:v>
                        </c:pt>
                      </c15:dlblFieldTableCache>
                    </c15:dlblFTEntry>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GT"/>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MINDEF!$A$4:$A$8</c:f>
              <c:strCache>
                <c:ptCount val="5"/>
                <c:pt idx="0">
                  <c:v>Ejecutado I Cuatrimestre</c:v>
                </c:pt>
                <c:pt idx="1">
                  <c:v>Ejecutado II Cuatrimestre </c:v>
                </c:pt>
                <c:pt idx="4">
                  <c:v>Presupuesto sin Ejecutarse</c:v>
                </c:pt>
              </c:strCache>
            </c:strRef>
          </c:cat>
          <c:val>
            <c:numRef>
              <c:f>MINDEF!$B$4:$B$8</c:f>
              <c:numCache>
                <c:formatCode>_([$Q-100A]* #,##0.00_);_([$Q-100A]* \(#,##0.00\);_([$Q-100A]* "-"??_);_(@_)</c:formatCode>
                <c:ptCount val="5"/>
                <c:pt idx="0">
                  <c:v>633.44000000000005</c:v>
                </c:pt>
                <c:pt idx="1">
                  <c:v>780.48</c:v>
                </c:pt>
                <c:pt idx="2">
                  <c:v>0</c:v>
                </c:pt>
                <c:pt idx="4" formatCode="_(&quot;Q&quot;* #,##0.00_);_(&quot;Q&quot;* \(#,##0.00\);_(&quot;Q&quot;* &quot;-&quot;??_);_(@_)">
                  <c:v>1237.5999999999999</c:v>
                </c:pt>
              </c:numCache>
            </c:numRef>
          </c:val>
          <c:extLst xmlns:c16r2="http://schemas.microsoft.com/office/drawing/2015/06/chart">
            <c:ext xmlns:c16="http://schemas.microsoft.com/office/drawing/2014/chart" uri="{C3380CC4-5D6E-409C-BE32-E72D297353CC}">
              <c16:uniqueId val="{0000000C-D9A0-405C-82F9-2C21A8D7BAF8}"/>
            </c:ext>
          </c:extLst>
        </c:ser>
        <c:dLbls>
          <c:dLblPos val="ctr"/>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GT"/>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0.99394</cdr:y>
    </cdr:from>
    <cdr:to>
      <cdr:x>1</cdr:x>
      <cdr:y>1</cdr:y>
    </cdr:to>
    <cdr:cxnSp macro="">
      <cdr:nvCxnSpPr>
        <cdr:cNvPr id="3" name="2 Conector recto" descr="Q. 370.54 Millones" title="Ejecución promedio de los 3 Años: ">
          <a:extLst xmlns:a="http://schemas.openxmlformats.org/drawingml/2006/main">
            <a:ext uri="{FF2B5EF4-FFF2-40B4-BE49-F238E27FC236}">
              <a16:creationId xmlns:a16="http://schemas.microsoft.com/office/drawing/2014/main" xmlns="" id="{F6D0687A-4A88-409C-8625-D13A4DEE7251}"/>
            </a:ext>
          </a:extLst>
        </cdr:cNvPr>
        <cdr:cNvCxnSpPr/>
      </cdr:nvCxnSpPr>
      <cdr:spPr>
        <a:xfrm xmlns:a="http://schemas.openxmlformats.org/drawingml/2006/main">
          <a:off x="0" y="3125932"/>
          <a:ext cx="5941001" cy="19050"/>
        </a:xfrm>
        <a:prstGeom xmlns:a="http://schemas.openxmlformats.org/drawingml/2006/main" prst="line">
          <a:avLst/>
        </a:prstGeom>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cdr:x>
      <cdr:y>0.99394</cdr:y>
    </cdr:from>
    <cdr:to>
      <cdr:x>1</cdr:x>
      <cdr:y>1</cdr:y>
    </cdr:to>
    <cdr:cxnSp macro="">
      <cdr:nvCxnSpPr>
        <cdr:cNvPr id="2" name="2 Conector recto" descr="Q. 370.54 Millones" title="Ejecución promedio de los 3 Años: ">
          <a:extLst xmlns:a="http://schemas.openxmlformats.org/drawingml/2006/main">
            <a:ext uri="{FF2B5EF4-FFF2-40B4-BE49-F238E27FC236}">
              <a16:creationId xmlns:a16="http://schemas.microsoft.com/office/drawing/2014/main" xmlns="" id="{8C06A019-851E-4F02-9095-69F5B2FE0A07}"/>
            </a:ext>
          </a:extLst>
        </cdr:cNvPr>
        <cdr:cNvCxnSpPr/>
      </cdr:nvCxnSpPr>
      <cdr:spPr>
        <a:xfrm xmlns:a="http://schemas.openxmlformats.org/drawingml/2006/main">
          <a:off x="0" y="3125932"/>
          <a:ext cx="5941001" cy="19050"/>
        </a:xfrm>
        <a:prstGeom xmlns:a="http://schemas.openxmlformats.org/drawingml/2006/main" prst="line">
          <a:avLst/>
        </a:prstGeom>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cdr:x>
      <cdr:y>0.99394</cdr:y>
    </cdr:from>
    <cdr:to>
      <cdr:x>1</cdr:x>
      <cdr:y>1</cdr:y>
    </cdr:to>
    <cdr:cxnSp macro="">
      <cdr:nvCxnSpPr>
        <cdr:cNvPr id="12" name="2 Conector recto" descr="Q. 370.54 Millones" title="Ejecución promedio de los 3 Años: ">
          <a:extLst xmlns:a="http://schemas.openxmlformats.org/drawingml/2006/main">
            <a:ext uri="{FF2B5EF4-FFF2-40B4-BE49-F238E27FC236}">
              <a16:creationId xmlns:a16="http://schemas.microsoft.com/office/drawing/2014/main" xmlns="" id="{23693B21-81A0-4308-85F7-F3FEC3433A4A}"/>
            </a:ext>
          </a:extLst>
        </cdr:cNvPr>
        <cdr:cNvCxnSpPr/>
      </cdr:nvCxnSpPr>
      <cdr:spPr>
        <a:xfrm xmlns:a="http://schemas.openxmlformats.org/drawingml/2006/main">
          <a:off x="0" y="3125932"/>
          <a:ext cx="5941001" cy="19050"/>
        </a:xfrm>
        <a:prstGeom xmlns:a="http://schemas.openxmlformats.org/drawingml/2006/main" prst="line">
          <a:avLst/>
        </a:prstGeom>
        <a:ln xmlns:a="http://schemas.openxmlformats.org/drawingml/2006/main">
          <a:solidFill>
            <a:schemeClr val="bg1"/>
          </a:solidFill>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EBF5F-A0A3-4B7F-A6A8-83DAB483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42893</Words>
  <Characters>235914</Characters>
  <Application>Microsoft Office Word</Application>
  <DocSecurity>0</DocSecurity>
  <Lines>1965</Lines>
  <Paragraphs>556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Antonio Baldizón Morales</dc:creator>
  <cp:lastModifiedBy>María Angélica Morales Enamorado</cp:lastModifiedBy>
  <cp:revision>2</cp:revision>
  <cp:lastPrinted>2019-09-16T22:57:00Z</cp:lastPrinted>
  <dcterms:created xsi:type="dcterms:W3CDTF">2019-10-24T23:09:00Z</dcterms:created>
  <dcterms:modified xsi:type="dcterms:W3CDTF">2019-10-24T23:09:00Z</dcterms:modified>
</cp:coreProperties>
</file>